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B5D00">
      <w:pPr>
        <w:pStyle w:val="1"/>
      </w:pPr>
      <w:r>
        <w:fldChar w:fldCharType="begin"/>
      </w:r>
      <w:r>
        <w:instrText>HYPERLINK "garantF1://35801263.0"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4 марта 2008 г. N 31</w:t>
      </w:r>
      <w:r>
        <w:rPr>
          <w:rStyle w:val="a4"/>
        </w:rPr>
        <w:br/>
        <w:t>"Об утверждении республиканской программы "Обеспечение земельных</w:t>
      </w:r>
      <w:r>
        <w:rPr>
          <w:rStyle w:val="a4"/>
        </w:rPr>
        <w:br/>
        <w:t>участков коммунальной инфраструктурой в целя</w:t>
      </w:r>
      <w:r>
        <w:rPr>
          <w:rStyle w:val="a4"/>
        </w:rPr>
        <w:t>х жилищного</w:t>
      </w:r>
      <w:r>
        <w:rPr>
          <w:rStyle w:val="a4"/>
        </w:rPr>
        <w:br/>
        <w:t>строительства" на 2008-2011 годы"</w:t>
      </w:r>
      <w:r>
        <w:fldChar w:fldCharType="end"/>
      </w:r>
    </w:p>
    <w:p w:rsidR="00000000" w:rsidRDefault="006B5D00"/>
    <w:p w:rsidR="00000000" w:rsidRDefault="006B5D00">
      <w:r>
        <w:t>В целях выполнения постановления Правительства Чеченской Республики от 14 февраля 2006 г. N </w:t>
      </w:r>
      <w:r>
        <w:t xml:space="preserve">14 "О мерах по реализации в Чеченской Республике приоритетного национального проекта "Доступное и комфортное жилье - гражданам России" в рамках </w:t>
      </w:r>
      <w:hyperlink r:id="rId5" w:history="1">
        <w:r>
          <w:rPr>
            <w:rStyle w:val="a4"/>
          </w:rPr>
          <w:t>Федеральной целевой программы</w:t>
        </w:r>
      </w:hyperlink>
      <w:r>
        <w:t xml:space="preserve"> "Жилище" на 2002-2010 годы", Правительство Ч</w:t>
      </w:r>
      <w:r>
        <w:t>еченской Республики постановляет:</w:t>
      </w:r>
    </w:p>
    <w:p w:rsidR="00000000" w:rsidRDefault="006B5D00">
      <w:bookmarkStart w:id="1" w:name="sub_1"/>
      <w:r>
        <w:t xml:space="preserve">1. Утвердить прилагаемую </w:t>
      </w:r>
      <w:hyperlink w:anchor="sub_1000" w:history="1">
        <w:r>
          <w:rPr>
            <w:rStyle w:val="a4"/>
          </w:rPr>
          <w:t>республиканскую программу</w:t>
        </w:r>
      </w:hyperlink>
      <w:r>
        <w:t xml:space="preserve"> "Обеспечение земельных участков коммунальной инфраструктурой в целях жилищного строительства" на 2008-2011 годы (далее - Программа).</w:t>
      </w:r>
    </w:p>
    <w:p w:rsidR="00000000" w:rsidRDefault="006B5D00">
      <w:bookmarkStart w:id="2" w:name="sub_2"/>
      <w:bookmarkEnd w:id="1"/>
      <w:r>
        <w:t>2. Рекомендовать органам местного самоуправления Чеченской Республики, а до их формирования - главам администраций городов и районов Чеченской Республики принять участие в реализации Программы и обеспечить ее финансирование за счет средств местных бюдже</w:t>
      </w:r>
      <w:r>
        <w:t>тов и внебюджетных источников.</w:t>
      </w:r>
    </w:p>
    <w:p w:rsidR="00000000" w:rsidRDefault="006B5D00">
      <w:bookmarkStart w:id="3" w:name="sub_3"/>
      <w:bookmarkEnd w:id="2"/>
      <w:r>
        <w:t>3. Определить министерство жилищно-коммунального хозяйства Чеченской Республики органом исполнительной власти Чеченской Республики, уполномоченным на осуществление взаимодействия с Федеральным агентством по строител</w:t>
      </w:r>
      <w:r>
        <w:t xml:space="preserve">ьству и жилищно-коммунальному хозяйству в рамках реализации подпрограммы "Обеспечение земельных участков коммунальной инфраструктурой в целях жилищного строительства" </w:t>
      </w:r>
      <w:hyperlink r:id="rId6" w:history="1">
        <w:r>
          <w:rPr>
            <w:rStyle w:val="a4"/>
          </w:rPr>
          <w:t>Федеральной целевой программы</w:t>
        </w:r>
      </w:hyperlink>
      <w:r>
        <w:t xml:space="preserve"> "Жилище" на 2002-2010</w:t>
      </w:r>
      <w:r>
        <w:t> годы.</w:t>
      </w:r>
    </w:p>
    <w:p w:rsidR="00000000" w:rsidRDefault="006B5D00">
      <w:bookmarkStart w:id="4" w:name="sub_4"/>
      <w:bookmarkEnd w:id="3"/>
      <w:r>
        <w:t xml:space="preserve">4. Министерству жилищно-коммунального хозяйства Чеченской Республики до 1 июня 2008 года представить в Правительство Чеченской Республики проект закона Чеченской Республики об отборе муниципальных образований и инвестиционных проектов для </w:t>
      </w:r>
      <w:r>
        <w:t>участия в Программе.</w:t>
      </w:r>
    </w:p>
    <w:p w:rsidR="00000000" w:rsidRDefault="006B5D00">
      <w:bookmarkStart w:id="5" w:name="sub_5"/>
      <w:bookmarkEnd w:id="4"/>
      <w:r>
        <w:t>5. Министерству жилищно-коммунального хозяйства Чеченской Республики и министерству финансов Чеченской Республики до 1 июля 2008 года представить в Правительство Чеченской Республики на утверждение:</w:t>
      </w:r>
    </w:p>
    <w:bookmarkEnd w:id="5"/>
    <w:p w:rsidR="00000000" w:rsidRDefault="006B5D00">
      <w:r>
        <w:t>Правила предоставлени</w:t>
      </w:r>
      <w:r>
        <w:t>я субсидий бюджетам администраций городов и районов Чеченской Республики на возмещение части затрат на уплату процентов по кредитам, полученным в российских кредитных организациях для обеспечения земельных участков коммунальной инфраструктурой в целях жили</w:t>
      </w:r>
      <w:r>
        <w:t>щного строительства;</w:t>
      </w:r>
    </w:p>
    <w:p w:rsidR="00000000" w:rsidRDefault="006B5D00">
      <w:r>
        <w:t>Порядок предоставления государственных гарантий Чеченской Республики по кредитам, привлекаемым для обеспечения земельных участков инженерной инфраструктурой и модернизации коммунальной инфраструктуры в целях жилищного строительства.</w:t>
      </w:r>
    </w:p>
    <w:p w:rsidR="00000000" w:rsidRDefault="006B5D00">
      <w:bookmarkStart w:id="6" w:name="sub_6"/>
      <w:r>
        <w:t>6. Министерству экономического развития и торговли Чеченской Республики и министерству финансов Чеченской Республики предусматривать необходимые средства на финансирование указанной Программы при формировании республиканского бюджета на очередной финанс</w:t>
      </w:r>
      <w:r>
        <w:t>овый год.</w:t>
      </w:r>
    </w:p>
    <w:p w:rsidR="00000000" w:rsidRDefault="006B5D00">
      <w:bookmarkStart w:id="7" w:name="sub_7"/>
      <w:bookmarkEnd w:id="6"/>
      <w:r>
        <w:t>7. Контроль за выполнением настоящего постановления возложить на заместителя Председателя Правительства Чеченской Республики - Руководителя Администрации Президента и Правительства Чеченской Республики А.М. Израйилова.</w:t>
      </w:r>
    </w:p>
    <w:p w:rsidR="00000000" w:rsidRDefault="006B5D00">
      <w:bookmarkStart w:id="8" w:name="sub_8"/>
      <w:bookmarkEnd w:id="7"/>
      <w:r>
        <w:t>8. Наст</w:t>
      </w:r>
      <w:r>
        <w:t xml:space="preserve">оящее постановление вступает в силу по истечении десяти дней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8"/>
    <w:p w:rsidR="00000000" w:rsidRDefault="006B5D0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B5D00">
            <w:pPr>
              <w:pStyle w:val="afff"/>
            </w:pPr>
            <w:r>
              <w:lastRenderedPageBreak/>
              <w:t>Председатель Правительства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B5D00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000000" w:rsidRDefault="006B5D00"/>
    <w:p w:rsidR="00000000" w:rsidRDefault="006B5D00">
      <w:pPr>
        <w:pStyle w:val="1"/>
      </w:pPr>
      <w:bookmarkStart w:id="9" w:name="sub_1000"/>
      <w:r>
        <w:t>Республиканская программа</w:t>
      </w:r>
      <w:r>
        <w:br/>
        <w:t xml:space="preserve">"Обеспечение </w:t>
      </w:r>
      <w:r>
        <w:t>земельных участков коммунальной инфраструктурой в целях жилищного строительства" на 2008-2011 годы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ЧР от 4 марта 2008 г. N 31)</w:t>
      </w:r>
    </w:p>
    <w:bookmarkEnd w:id="9"/>
    <w:p w:rsidR="00000000" w:rsidRDefault="006B5D00"/>
    <w:p w:rsidR="00000000" w:rsidRDefault="006B5D00">
      <w:pPr>
        <w:pStyle w:val="1"/>
      </w:pPr>
      <w:r>
        <w:t>г. Грозный 2008 год</w:t>
      </w:r>
    </w:p>
    <w:p w:rsidR="00000000" w:rsidRDefault="006B5D00"/>
    <w:p w:rsidR="00000000" w:rsidRDefault="006B5D00">
      <w:pPr>
        <w:pStyle w:val="1"/>
      </w:pPr>
      <w:bookmarkStart w:id="10" w:name="sub_1001"/>
      <w:r>
        <w:t>Паспорт</w:t>
      </w:r>
      <w:r>
        <w:br/>
        <w:t>республиканской программы</w:t>
      </w:r>
      <w:r>
        <w:t xml:space="preserve"> "Обеспечение земельных участков</w:t>
      </w:r>
      <w:r>
        <w:br/>
        <w:t>коммунальной инфраструктурой в целях жилищного строительства"</w:t>
      </w:r>
      <w:r>
        <w:br/>
        <w:t>на 2008-2011 годы</w:t>
      </w:r>
    </w:p>
    <w:bookmarkEnd w:id="10"/>
    <w:p w:rsidR="00000000" w:rsidRDefault="006B5D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8"/>
        <w:gridCol w:w="6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программа "Обеспечение земельных участков коммунальной инфраструктурой в целях жилищного строительства" на 2008-2010 годы (далее - Программа).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hyperlink r:id="rId8" w:history="1">
              <w:r>
                <w:rPr>
                  <w:rStyle w:val="a4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Правительств</w:t>
            </w:r>
            <w:r>
              <w:rPr>
                <w:sz w:val="22"/>
                <w:szCs w:val="22"/>
              </w:rPr>
              <w:t>а Российской Федерации от 31 декабря 2005 г. N 865 "О дополнительных мерах по реализации федеральной целевой программы "Жилище" на 2002-2010 годы", постановление Правительства Чеченской Республики от 14.02.2006 г. N 14 "О мерах по реализации в Чеченской Ре</w:t>
            </w:r>
            <w:r>
              <w:rPr>
                <w:sz w:val="22"/>
                <w:szCs w:val="22"/>
              </w:rPr>
              <w:t xml:space="preserve">спублике приоритетного национального проекта "Доступное и комфортное жилье - гражданам России" в рамках </w:t>
            </w:r>
            <w:hyperlink r:id="rId9" w:history="1">
              <w:r>
                <w:rPr>
                  <w:rStyle w:val="a4"/>
                  <w:sz w:val="22"/>
                  <w:szCs w:val="22"/>
                </w:rPr>
                <w:t>Федеральной целевой программы</w:t>
              </w:r>
            </w:hyperlink>
            <w:r>
              <w:rPr>
                <w:sz w:val="22"/>
                <w:szCs w:val="22"/>
              </w:rPr>
              <w:t xml:space="preserve"> "Жилище" на 2002-2010 гг."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жилищно-коммунального хо</w:t>
            </w:r>
            <w:r>
              <w:rPr>
                <w:sz w:val="22"/>
                <w:szCs w:val="22"/>
              </w:rPr>
              <w:t>зяйства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жилищно-коммунального хозяйства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экономического развития и торговли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и задачи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Целью Программы является увеличение объема строительства жилья на конкурентном рынке жилищного строительства, удовлетворяющего платежеспособный спрос населения.</w:t>
            </w:r>
          </w:p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задачи:</w:t>
            </w:r>
          </w:p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подготовка и реализация инвестиционных проектов по обеспечению коммунальной </w:t>
            </w:r>
            <w:r>
              <w:rPr>
                <w:sz w:val="22"/>
                <w:szCs w:val="22"/>
              </w:rPr>
              <w:t>инфраструктурой земельных участков для жилищного строительства в Чеченской Республике;</w:t>
            </w:r>
          </w:p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демонополизация и развитие конкуренции на рынке жилищного строительства, а также обеспечение комплексного развития систем коммунального обеспечения;</w:t>
            </w:r>
          </w:p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создание эффекти</w:t>
            </w:r>
            <w:r>
              <w:rPr>
                <w:sz w:val="22"/>
                <w:szCs w:val="22"/>
              </w:rPr>
              <w:t>вных и устойчивых организационных и финансовых механизмов обеспечения коммунальной инфраструктурой земельных участков для жилищного строительства.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этапы реализации Программы</w:t>
            </w:r>
            <w:hyperlink w:anchor="sub_10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- 2008-2011 годы</w:t>
            </w:r>
          </w:p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этап - 2008-2009 годы</w:t>
            </w:r>
          </w:p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 этап</w:t>
            </w:r>
            <w:r>
              <w:rPr>
                <w:sz w:val="22"/>
                <w:szCs w:val="22"/>
              </w:rPr>
              <w:t xml:space="preserve"> - 2009-2011 годы</w:t>
            </w:r>
            <w:hyperlink w:anchor="sub_10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Объем и источник финансирования Программы</w:t>
            </w:r>
            <w:hyperlink w:anchor="sub_11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республиканского и местных бюджетов - 347,0 млн. рублей, в том числе, субсидирование процентных ставок по привлеченным кредитам - 40,0 </w:t>
            </w:r>
            <w:r>
              <w:rPr>
                <w:sz w:val="22"/>
                <w:szCs w:val="22"/>
              </w:rPr>
              <w:t>млн. руб., гарантии по кредитам - 258,0 млн. руб.; заемные средства - 736,0 млн. рублей.</w:t>
            </w:r>
            <w:hyperlink w:anchor="sub_11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объемов жилищного строительства до 278,2 тыс. кв.м.;</w:t>
            </w:r>
          </w:p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эффективных механизмов развития коммун</w:t>
            </w:r>
            <w:r>
              <w:rPr>
                <w:sz w:val="22"/>
                <w:szCs w:val="22"/>
              </w:rPr>
              <w:t>альной инфраструктуры и градорегулирования;</w:t>
            </w:r>
          </w:p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создание равных условий для участников в оформлении земельных участков;</w:t>
            </w:r>
          </w:p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рынка земельных участков под строительство жилья;</w:t>
            </w:r>
          </w:p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частных инвестиций в жилищное строительство.</w:t>
            </w:r>
          </w:p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бъемы и источники финансирования на II этапе будут скорректированы по итогам реализации Программы в 2008-2009 гг.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Чеченской Республики, муниципальные образования (администрации городов и районов) Чеченско</w:t>
            </w:r>
            <w:r>
              <w:rPr>
                <w:sz w:val="22"/>
                <w:szCs w:val="22"/>
              </w:rPr>
              <w:t>й Республики, предприятия и организации, отобранные на конкурсной основе.</w:t>
            </w:r>
          </w:p>
        </w:tc>
      </w:tr>
    </w:tbl>
    <w:p w:rsidR="00000000" w:rsidRDefault="006B5D00"/>
    <w:p w:rsidR="00000000" w:rsidRDefault="006B5D00">
      <w:bookmarkStart w:id="11" w:name="sub_10"/>
      <w:r>
        <w:t>*Предполагается, что реализация отдельных мероприятий Программы после 2011 года будет продолжена.</w:t>
      </w:r>
    </w:p>
    <w:p w:rsidR="00000000" w:rsidRDefault="006B5D00">
      <w:bookmarkStart w:id="12" w:name="sub_11"/>
      <w:bookmarkEnd w:id="11"/>
      <w:r>
        <w:t xml:space="preserve">** Объемы софинансирования из федерального бюджета определяются </w:t>
      </w:r>
      <w:r>
        <w:t>Государственным заказчиком индивидуально по каждому инвестиционному проекту.</w:t>
      </w:r>
    </w:p>
    <w:bookmarkEnd w:id="12"/>
    <w:p w:rsidR="00000000" w:rsidRDefault="006B5D00"/>
    <w:p w:rsidR="00000000" w:rsidRDefault="006B5D00">
      <w:pPr>
        <w:pStyle w:val="1"/>
      </w:pPr>
      <w:bookmarkStart w:id="13" w:name="sub_100"/>
      <w:r>
        <w:t>1. Содержание проблемы и обоснование необходимости</w:t>
      </w:r>
      <w:r>
        <w:br/>
        <w:t>ее решения программными методами</w:t>
      </w:r>
    </w:p>
    <w:bookmarkEnd w:id="13"/>
    <w:p w:rsidR="00000000" w:rsidRDefault="006B5D00"/>
    <w:p w:rsidR="00000000" w:rsidRDefault="006B5D00">
      <w:r>
        <w:t>Основной проблемой в сфере жилищного строительства является отсутствие зе</w:t>
      </w:r>
      <w:r>
        <w:t>мельных участков, обустроенных коммунальной инфраструктурой, механизмов привлечения частных инвестиционных и кредитных ресурсов в строительство и модернизацию коммунальной инфраструктуры.</w:t>
      </w:r>
    </w:p>
    <w:p w:rsidR="00000000" w:rsidRDefault="006B5D00">
      <w:r>
        <w:t>Существующая практика решения проблемы развития коммунальной инфраст</w:t>
      </w:r>
      <w:r>
        <w:t>руктуры земельных участков под жилищное строительство основана на установлении предприятиями, предоставляющими коммунальные услуги, в том числе и электроэнергетического сектора, монопольной платы за присоединение к их инфраструктурным системам или выполнен</w:t>
      </w:r>
      <w:r>
        <w:t>ии застройщиками технических условий для присоединения к этим системам. Такая практика создает неравные конкурентные условия для застройщиков и приводит к невозможности освоения новых перспективных для жилищного строительства площадок.</w:t>
      </w:r>
    </w:p>
    <w:p w:rsidR="00000000" w:rsidRDefault="006B5D00">
      <w:r>
        <w:t>Стимулирование градо</w:t>
      </w:r>
      <w:r>
        <w:t>строительной деятельности через упрощение процедуры получения застройщиками права на застройку земельных участков предусмотрено в новом Градостроительном кодексе Российской Федерации путем развития системы открытых публичных торгов. Тем самым разрушаются г</w:t>
      </w:r>
      <w:r>
        <w:t>лавные административные барьеры на пути застройщиков, связанные с получением разрешения на строительство и выполнением технических условий по развитию инженерной инфраструктуры. Данные мероприятия должны быть подкреплены на уровне муниципальных образований</w:t>
      </w:r>
      <w:r>
        <w:t xml:space="preserve"> путем установления четких и прозрачных процедур территориального планирования, </w:t>
      </w:r>
      <w:r>
        <w:lastRenderedPageBreak/>
        <w:t>определения градостроительных регламентов и видов разрешительного использования недвижимости.</w:t>
      </w:r>
    </w:p>
    <w:p w:rsidR="00000000" w:rsidRDefault="006B5D00">
      <w:r>
        <w:t>В условиях Чеченской Республики, где в ходе боевых действий разрушено свыше 60% жи</w:t>
      </w:r>
      <w:r>
        <w:t>лищного фонда, необходим комплексный подход к решению проблем ликвидации разрушенного и аварийного жилищного фонда и системной застройки городских территорий.</w:t>
      </w:r>
    </w:p>
    <w:p w:rsidR="00000000" w:rsidRDefault="006B5D00">
      <w:r>
        <w:t xml:space="preserve">В рамках Программы предполагается обеспечить в приоритетном порядке коммунальной инфраструктурой </w:t>
      </w:r>
      <w:r>
        <w:t>земельные участки, предназначенные под жилищное строительство на территориях, освобожденных от завалов, строительного мусора и занимаемых в настоящее время аварийным жилищным фондом. Для этого необходимо разработать комплекс мер по освоению данных территор</w:t>
      </w:r>
      <w:r>
        <w:t>ий и новых площадок для строительства в соответствии с генеральным планом г. Грозного.</w:t>
      </w:r>
    </w:p>
    <w:p w:rsidR="00000000" w:rsidRDefault="006B5D00">
      <w:r>
        <w:t>Наличие системных проблем в вопросах обеспечения земельных участков коммунальной инфраструктурой в целях жилищного строительства требует программно-целевых действий для их решения. Реализация такого подхода позволит не только увеличить объемы жилищного стр</w:t>
      </w:r>
      <w:r>
        <w:t>оительства, но и создать условия для формирования устойчивых механизмов решения данной проблемы в будущем.</w:t>
      </w:r>
    </w:p>
    <w:p w:rsidR="00000000" w:rsidRDefault="006B5D00"/>
    <w:p w:rsidR="00000000" w:rsidRDefault="006B5D00">
      <w:pPr>
        <w:pStyle w:val="1"/>
      </w:pPr>
      <w:bookmarkStart w:id="14" w:name="sub_200"/>
      <w:r>
        <w:t>2. Основная цель и задачи Программы</w:t>
      </w:r>
    </w:p>
    <w:bookmarkEnd w:id="14"/>
    <w:p w:rsidR="00000000" w:rsidRDefault="006B5D00"/>
    <w:p w:rsidR="00000000" w:rsidRDefault="006B5D00">
      <w:r>
        <w:t>Целью Программы является увеличение объемов ввода и предложения жилья на рынке жилищного строител</w:t>
      </w:r>
      <w:r>
        <w:t>ьства за счет обеспечения опережающего развития коммунальной инфраструктуры земельных участков.</w:t>
      </w:r>
    </w:p>
    <w:p w:rsidR="00000000" w:rsidRDefault="006B5D00">
      <w:r>
        <w:t>В процессе достижения поставленной цели будут решены следующие задачи:</w:t>
      </w:r>
    </w:p>
    <w:p w:rsidR="00000000" w:rsidRDefault="006B5D00">
      <w:r>
        <w:t>- подготовка и реализация инвестиционных проектов по обеспечению земельных участков комму</w:t>
      </w:r>
      <w:r>
        <w:t>нальной инфраструктурой в целях жилищного строительства на территории Чеченской Республики;</w:t>
      </w:r>
    </w:p>
    <w:p w:rsidR="00000000" w:rsidRDefault="006B5D00">
      <w:r>
        <w:t>- создание эффективных и устойчивых организационных и финансовых механизмов обеспечения земельных участков коммунальной инфраструктурой в целях жилищного строительс</w:t>
      </w:r>
      <w:r>
        <w:t>тва;</w:t>
      </w:r>
    </w:p>
    <w:p w:rsidR="00000000" w:rsidRDefault="006B5D00">
      <w:r>
        <w:t>- развитие конкуренции на рынке жилищного строительства, обеспечение комплексного развития систем коммунальной инфраструктуры.</w:t>
      </w:r>
    </w:p>
    <w:p w:rsidR="00000000" w:rsidRDefault="006B5D00">
      <w:r>
        <w:t>Выполнение Программы осуществляется в две стадии:</w:t>
      </w:r>
    </w:p>
    <w:p w:rsidR="00000000" w:rsidRDefault="006B5D00">
      <w:r>
        <w:t>1 стадия (2008-2009 годы) включает:</w:t>
      </w:r>
    </w:p>
    <w:p w:rsidR="00000000" w:rsidRDefault="006B5D00">
      <w:r>
        <w:t>нормативно-правовое обеспечение реализ</w:t>
      </w:r>
      <w:r>
        <w:t>ации мероприятий Программы;</w:t>
      </w:r>
    </w:p>
    <w:p w:rsidR="00000000" w:rsidRDefault="006B5D00">
      <w:r>
        <w:t>- привлечение инвестиций в обеспечение земельных участков коммунальной инфраструктурой;</w:t>
      </w:r>
    </w:p>
    <w:p w:rsidR="00000000" w:rsidRDefault="006B5D00">
      <w:r>
        <w:t>- подготовку земельных участков на ближайшую перспективу и обеспечение существенного роста жилищного строительства;</w:t>
      </w:r>
    </w:p>
    <w:p w:rsidR="00000000" w:rsidRDefault="006B5D00">
      <w:r>
        <w:t>- создание нового банков</w:t>
      </w:r>
      <w:r>
        <w:t>ского кредитного продукта - кредитования развития коммунальной инфраструктуры.</w:t>
      </w:r>
    </w:p>
    <w:p w:rsidR="00000000" w:rsidRDefault="006B5D00">
      <w:r>
        <w:t>В этот период государственная поддержка будет оказана проектам по обеспечению земельных участков коммунальной инфраструктурой, осуществляемым органами местного самоуправления, а</w:t>
      </w:r>
      <w:r>
        <w:t xml:space="preserve"> также мероприятиям по реализации на территории Чеченской Республики Градостроительного кодекса Российской Федерации.</w:t>
      </w:r>
    </w:p>
    <w:p w:rsidR="00000000" w:rsidRDefault="006B5D00">
      <w:r>
        <w:t>2 стадия (2009-2011 годы) ориентирована на преимущественное развитие рыночных принципов, доли бюджетных средств, направляемых на возмещени</w:t>
      </w:r>
      <w:r>
        <w:t xml:space="preserve">е части затрат на уплату процентов по кредитам, предоставляемым на обеспечение земельных участков под жилищное строительство коммунальной инфраструктурой, будут </w:t>
      </w:r>
      <w:r>
        <w:lastRenderedPageBreak/>
        <w:t>сокращаться. При этом за счет средств бюджета Чеченской Республики и местных бюджетов будут обе</w:t>
      </w:r>
      <w:r>
        <w:t>спечиваться ранее принятые обязательства по содействию в реализации проектов, начатых на 1-й стадии реализации Программы.</w:t>
      </w:r>
    </w:p>
    <w:p w:rsidR="00000000" w:rsidRDefault="006B5D00">
      <w:r>
        <w:t>С 2011 года в целях активизации рыночных процессов упор будет сделан на организационные формы, при которых задачи обеспечения развития</w:t>
      </w:r>
      <w:r>
        <w:t xml:space="preserve"> коммунальной инфраструктуры берут на себя хозяйствующие субъекты - застройщики.</w:t>
      </w:r>
    </w:p>
    <w:p w:rsidR="00000000" w:rsidRDefault="006B5D00"/>
    <w:p w:rsidR="00000000" w:rsidRDefault="006B5D00">
      <w:pPr>
        <w:pStyle w:val="1"/>
      </w:pPr>
      <w:bookmarkStart w:id="15" w:name="sub_300"/>
      <w:r>
        <w:t>3. Система программных мероприятий</w:t>
      </w:r>
    </w:p>
    <w:bookmarkEnd w:id="15"/>
    <w:p w:rsidR="00000000" w:rsidRDefault="006B5D00"/>
    <w:p w:rsidR="00000000" w:rsidRDefault="006B5D00">
      <w:r>
        <w:t>Программные мероприятия направлены на реализацию поставленных задач и подразделяются на мероприятия по разработке нормативно</w:t>
      </w:r>
      <w:r>
        <w:t>-правовой базы, организационные мероприятия, а также мероприятия по финансированию капитальных вложений за счет средств республиканского, местных бюджетов и внебюджетных средств.</w:t>
      </w:r>
    </w:p>
    <w:p w:rsidR="00000000" w:rsidRDefault="006B5D00">
      <w:r>
        <w:t>В рамках Программы намечено реализовать меры по предоставлению государственны</w:t>
      </w:r>
      <w:r>
        <w:t>х гарантий Чеченской Республики по заимствованиям, осуществляемым на обеспечение земельных участков коммунальной инфраструктурой в целях жилищного строительства и субсидий из республиканского и местных бюджетов на возмещение части затрат на уплату проценто</w:t>
      </w:r>
      <w:r>
        <w:t>в по кредитам, полученным в российских кредитных организациях на указанные цели.</w:t>
      </w:r>
    </w:p>
    <w:p w:rsidR="00000000" w:rsidRDefault="006B5D00">
      <w:r>
        <w:t>Соответствующие кредиты должны предоставляться на срок не более 3-х лет при условии окончания кредитного периода до момента окончания реализации мероприятий Программы.</w:t>
      </w:r>
    </w:p>
    <w:p w:rsidR="00000000" w:rsidRDefault="006B5D00">
      <w:r>
        <w:t>Необход</w:t>
      </w:r>
      <w:r>
        <w:t>имым требованием Программы является использование гарантий за счет бюджетных средств только для частичного обеспечения каждого из кредитов на финансирование инвестиционного проекта. При этом предполагается, что общий объем предоставляемых государственных г</w:t>
      </w:r>
      <w:r>
        <w:t>арантий Российской Федерации, Чеченской Республики и муниципальных гарантий (гарантий административных образований) не может быть более 50% основной суммы долга по кредитам, предоставленным в 2008-2010 годах. В качестве дополнительного обеспечения оставшей</w:t>
      </w:r>
      <w:r>
        <w:t>ся части обязательств перед кредитором заемщиками могут быть использованы любые иные формы обеспечения. Вопросы предоставления дополнительного обеспечения части кредита, не обеспеченной государственными и муниципальными гарантиями, решаются банком-кредитор</w:t>
      </w:r>
      <w:r>
        <w:t>ом и заемщиком на основании договора. По требованию банков-кредиторов заемщикам может быть предоставлено дополнительное обеспечение на часть кредита, не обеспеченную государственными гарантиями, или риски по возврату этой части кредита может принимать на с</w:t>
      </w:r>
      <w:r>
        <w:t>ебя банк-кредитор.</w:t>
      </w:r>
    </w:p>
    <w:p w:rsidR="00000000" w:rsidRDefault="006B5D00">
      <w:r>
        <w:t>Условия, объемы и сроки предоставления государственных гарантий Чеченской Республики регламентируются Порядком предоставления государственных гарантий Чеченской Республики по заимствованиям, осуществляемым на обеспечение земельных участк</w:t>
      </w:r>
      <w:r>
        <w:t>ов инженерной инфраструктурой и модернизацию коммунальной инфраструктуры (далее - Порядок).</w:t>
      </w:r>
    </w:p>
    <w:p w:rsidR="00000000" w:rsidRDefault="006B5D00">
      <w:r>
        <w:t>Возмещение части затрат на уплату процентов из республиканского бюджета по кредитам, предоставленным на указанные цели основе Правил предоставления субсидий бюджета</w:t>
      </w:r>
      <w:r>
        <w:t>м муниципальных (административных) образований Чеченской Республики на возмещение части затрат на уплату процентов по кредитам, полученным в российских кредитных организациях на обеспечение земельных участков под жилищное строительство коммунальной инфраст</w:t>
      </w:r>
      <w:r>
        <w:t>руктурой (далее - Правила).</w:t>
      </w:r>
    </w:p>
    <w:p w:rsidR="00000000" w:rsidRDefault="006B5D00">
      <w:r>
        <w:t xml:space="preserve">Возмещение части затрат на уплату процентов производится по кредитам, </w:t>
      </w:r>
      <w:r>
        <w:lastRenderedPageBreak/>
        <w:t>полученным заемщиками в 2008-2010 году на срок до трех лет со сроком погашения кредита не позднее даты окончания реализации мероприятий Программы, предоставле</w:t>
      </w:r>
      <w:r>
        <w:t xml:space="preserve">нным по процентной ставке, не более чем на 3 процентных пункта превышающей </w:t>
      </w:r>
      <w:hyperlink r:id="rId10" w:history="1">
        <w:r>
          <w:rPr>
            <w:rStyle w:val="a4"/>
          </w:rPr>
          <w:t>ставку рефинансирования</w:t>
        </w:r>
      </w:hyperlink>
      <w:r>
        <w:t xml:space="preserve"> Центрального банка Российской Федерации на дату заключения кредитного договора.</w:t>
      </w:r>
    </w:p>
    <w:p w:rsidR="00000000" w:rsidRDefault="006B5D00">
      <w:r>
        <w:t>Программа предусматривает участие Чеченск</w:t>
      </w:r>
      <w:r>
        <w:t xml:space="preserve">ой Республики в конкурсном отборе субъектов Российской Федерации на получение соответствующих гарантий и субсидий из федерального бюджета в рамках подпрограммы "Обеспечение земельных участков коммунальной инфраструктурой в целях жилищного строительства" </w:t>
      </w:r>
      <w:hyperlink r:id="rId11" w:history="1">
        <w:r>
          <w:rPr>
            <w:rStyle w:val="a4"/>
          </w:rPr>
          <w:t>федеральной целевой программы</w:t>
        </w:r>
      </w:hyperlink>
      <w:r>
        <w:t xml:space="preserve"> "Жилище" на 2002-2010 годы, утвержденной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декабря 2005 г. N 865 (далее - Подпрограмма). Государствен</w:t>
      </w:r>
      <w:r>
        <w:t>ный заказчик Подпрограммы - Федеральное агентство по строительству и жилищно-коммунальному хозяйству (Росстрой).</w:t>
      </w:r>
    </w:p>
    <w:p w:rsidR="00000000" w:rsidRDefault="006B5D00">
      <w:r>
        <w:t>Порядок, объемы и сроки предоставления государственных гарантий Российской Федерации и субсидий из бюджета Российской Федерации на возмещение части затрат на уплату процентов по кредитам на реализацию инвестиционных проектов на обеспечение земельных участк</w:t>
      </w:r>
      <w:r>
        <w:t>ов для жилищного строительства коммунальной инфраструктурой, полученным в российских кредитных организациях на указанные цели регламентируется нормативно-правовыми актами Российской Федерации и условиями конкурсного отбора.</w:t>
      </w:r>
    </w:p>
    <w:p w:rsidR="00000000" w:rsidRDefault="006B5D00">
      <w:r>
        <w:t>Организационные мероприятия в ра</w:t>
      </w:r>
      <w:r>
        <w:t>мках Программы будут направлены на:</w:t>
      </w:r>
    </w:p>
    <w:p w:rsidR="00000000" w:rsidRDefault="006B5D00">
      <w:r>
        <w:t>- создание условий для снижения административных барьеров в жилищном строительстве, развития конкуренции и расширения доступа застройщиков к кредитным ресурсам, реализацию мер в области градостроительного и антимонопольн</w:t>
      </w:r>
      <w:r>
        <w:t>ого контроля;</w:t>
      </w:r>
    </w:p>
    <w:p w:rsidR="00000000" w:rsidRDefault="006B5D00">
      <w:r>
        <w:t>- внедрение механизмов привлечения кредитных и инвестиционных средств для обеспечения земельных участков коммунальной инфраструктурой;</w:t>
      </w:r>
    </w:p>
    <w:p w:rsidR="00000000" w:rsidRDefault="006B5D00">
      <w:r>
        <w:t>содействие внедрению механизмов проведения комплексной застройки территорий, реконструкции и обновления сущ</w:t>
      </w:r>
      <w:r>
        <w:t>ествующих кварталов застройки.</w:t>
      </w:r>
    </w:p>
    <w:p w:rsidR="00000000" w:rsidRDefault="006B5D00">
      <w:r>
        <w:t xml:space="preserve">В нормативно-правовую часть Программы входит подготовка нормативно-правовой и законодательной базы Чеченской Республики мероприятий </w:t>
      </w:r>
      <w:hyperlink r:id="rId13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 и инвести</w:t>
      </w:r>
      <w:r>
        <w:t>ционных проектов по обеспечению земельных участков коммунальной инфраструктурой в целях жилищного строительства.</w:t>
      </w:r>
    </w:p>
    <w:p w:rsidR="00000000" w:rsidRDefault="006B5D00">
      <w:r>
        <w:t>Такой подход обеспечит реализацию конкурентного механизма предоставления на открытых аукционах для целей жилищного строительства застройщикам с</w:t>
      </w:r>
      <w:r>
        <w:t xml:space="preserve">формированных земельных участков до начала строительно-инвестиционного процесса, создаст прозрачные и равные условия доступа для застройщиков к системам коммунальной инфраструктуры. При осуществлении отбора муниципальных (административных) образований, на </w:t>
      </w:r>
      <w:r>
        <w:t xml:space="preserve">территории которых будут реализовываться инвестиционные проекты, выдвигаются условия, связанные с реализацией мер, направленных на демонополизацию и развитие конкуренции на рынке жилищного строительства, а также на комплексное развитие систем коммунальной </w:t>
      </w:r>
      <w:r>
        <w:t>инфраструктуры. Поэтому заказчиком Программы в целях принятия решений об отборе инвестиционных проектов для финансировании из бюджета Чеченской Республики расходов на возмещение части затрат на уплату процентов будет учитываться выполнение требований по ра</w:t>
      </w:r>
      <w:r>
        <w:t>зработке и принятию на местном уровне необходимых нормативных документов, а также по реализации следующих основных мероприятий:</w:t>
      </w:r>
    </w:p>
    <w:p w:rsidR="00000000" w:rsidRDefault="006B5D00">
      <w:r>
        <w:t>- принятие правил землепользования и застройки;</w:t>
      </w:r>
    </w:p>
    <w:p w:rsidR="00000000" w:rsidRDefault="006B5D00">
      <w:r>
        <w:t xml:space="preserve">- подготовка проектов планировки территорий, предназначенных для жилищного </w:t>
      </w:r>
      <w:r>
        <w:lastRenderedPageBreak/>
        <w:t>строи</w:t>
      </w:r>
      <w:r>
        <w:t>тельства;</w:t>
      </w:r>
    </w:p>
    <w:p w:rsidR="00000000" w:rsidRDefault="006B5D00">
      <w:r>
        <w:t>- принятие программ комплексного развития систем коммунальной инфраструктуры;</w:t>
      </w:r>
    </w:p>
    <w:p w:rsidR="00000000" w:rsidRDefault="006B5D00">
      <w:r>
        <w:t>- введение платы за подключение к системам коммунальной инфраструктуры на основе утвержденного тарифа на подключение.</w:t>
      </w:r>
    </w:p>
    <w:p w:rsidR="00000000" w:rsidRDefault="006B5D00">
      <w:r>
        <w:t xml:space="preserve">Предварительные условия предоставления средств из </w:t>
      </w:r>
      <w:r>
        <w:t>бюджета Чеченской Республики, которым должны соответствовать муниципальные (административные) образования, на территории которых будут реализовываться инвестиционные проекты, варьируются по годам реализации Подпрограммы. В 2009 году указанными условиями яв</w:t>
      </w:r>
      <w:r>
        <w:t>ляются:</w:t>
      </w:r>
    </w:p>
    <w:p w:rsidR="00000000" w:rsidRDefault="006B5D00">
      <w:r>
        <w:t>- наличие утвержденного пакета документации для проведения аукциона по предоставлению прав на земельный участок (в границах квартала, микрорайона) для его комплексного освоения в целях жилищного строительства;</w:t>
      </w:r>
    </w:p>
    <w:p w:rsidR="00000000" w:rsidRDefault="006B5D00">
      <w:r>
        <w:t>- наличие решения соответствующего орг</w:t>
      </w:r>
      <w:r>
        <w:t>ана местного самоуправления об утверждении плана подготовки правил землепользования и застройки и принятие обязательства утвердить правила не позднее 30 июня 2009 г. (при отсутствии правил на день подачи заявки);</w:t>
      </w:r>
    </w:p>
    <w:p w:rsidR="00000000" w:rsidRDefault="006B5D00">
      <w:r>
        <w:t>наличие утвержденной программы комплексного</w:t>
      </w:r>
      <w:r>
        <w:t xml:space="preserve"> развития коммунальной инфраструктуры;</w:t>
      </w:r>
    </w:p>
    <w:p w:rsidR="00000000" w:rsidRDefault="006B5D00">
      <w:r>
        <w:t>установление органом местного самоуправления платы за подключение к системам коммунальной инфраструктуры на основе утвержденного тарифа на подключение.</w:t>
      </w:r>
    </w:p>
    <w:p w:rsidR="00000000" w:rsidRDefault="006B5D00">
      <w:r>
        <w:t>В 2010 году указанными условиями являются:</w:t>
      </w:r>
    </w:p>
    <w:p w:rsidR="00000000" w:rsidRDefault="006B5D00">
      <w:r>
        <w:t>- наличие утвержденног</w:t>
      </w:r>
      <w:r>
        <w:t>о протокола комиссии о состоявшемся аукционе и предоставлении победителю аукциона прав на земельный участок (в границах квартала, микрорайона) для его комплексного освоения в целях жилищного строительства;</w:t>
      </w:r>
    </w:p>
    <w:p w:rsidR="00000000" w:rsidRDefault="006B5D00">
      <w:r>
        <w:t>- наличие вступивших в действие правил землепользо</w:t>
      </w:r>
      <w:r>
        <w:t>вания и застройки;</w:t>
      </w:r>
    </w:p>
    <w:p w:rsidR="00000000" w:rsidRDefault="006B5D00">
      <w:r>
        <w:t>- наличие утвержденной программы комплексного развития коммунальной инфраструктуры;</w:t>
      </w:r>
    </w:p>
    <w:p w:rsidR="00000000" w:rsidRDefault="006B5D00">
      <w:r>
        <w:t>- установление органом местного самоуправления платы за подключение к системам коммунальной инфраструктуры на основе утвержденного тарифа на подключение.</w:t>
      </w:r>
    </w:p>
    <w:p w:rsidR="00000000" w:rsidRDefault="006B5D00">
      <w:r>
        <w:t>В 2011 году указанными условиями являются:</w:t>
      </w:r>
    </w:p>
    <w:p w:rsidR="00000000" w:rsidRDefault="006B5D00">
      <w:r>
        <w:t>- наличие утвержденного протокола комиссии о состоявшемся аукционе и предоставлении победителю аукциона прав на земельный участок (в границах квартала, микрорайона) для его комплексного освоения в целях жилищного</w:t>
      </w:r>
      <w:r>
        <w:t xml:space="preserve"> строительства;</w:t>
      </w:r>
    </w:p>
    <w:p w:rsidR="00000000" w:rsidRDefault="006B5D00">
      <w:r>
        <w:t>- наличие вступивших в действие правил землепользования и застройки;</w:t>
      </w:r>
    </w:p>
    <w:p w:rsidR="00000000" w:rsidRDefault="006B5D00">
      <w:r>
        <w:t>наличие утвержденной программы комплексного развития коммунальной инфраструктуры;</w:t>
      </w:r>
    </w:p>
    <w:p w:rsidR="00000000" w:rsidRDefault="006B5D00">
      <w:r>
        <w:t>установление органом местного самоуправления платы за подключение к системам коммунальной</w:t>
      </w:r>
      <w:r>
        <w:t xml:space="preserve"> инфраструктуры на основе утвержденного тарифа на подключение.</w:t>
      </w:r>
    </w:p>
    <w:p w:rsidR="00000000" w:rsidRDefault="006B5D00">
      <w:r>
        <w:t>В рамках Программы намечено реализовать меры по частичному финансированию разработки градостроительной и проектной документации под комплексную застройку территорий муниципальных (административ</w:t>
      </w:r>
      <w:r>
        <w:t>ных) образований Чеченской Республики из средств республиканского бюджета.</w:t>
      </w:r>
    </w:p>
    <w:p w:rsidR="00000000" w:rsidRDefault="006B5D00">
      <w:r>
        <w:t xml:space="preserve">Перечень основных мероприятий приведен в </w:t>
      </w:r>
      <w:hyperlink w:anchor="sub_2000" w:history="1">
        <w:r>
          <w:rPr>
            <w:rStyle w:val="a4"/>
          </w:rPr>
          <w:t>Приложении N 1</w:t>
        </w:r>
      </w:hyperlink>
      <w:r>
        <w:t>.</w:t>
      </w:r>
    </w:p>
    <w:p w:rsidR="00000000" w:rsidRDefault="006B5D00"/>
    <w:p w:rsidR="00000000" w:rsidRDefault="006B5D00">
      <w:pPr>
        <w:pStyle w:val="1"/>
      </w:pPr>
      <w:bookmarkStart w:id="16" w:name="sub_400"/>
      <w:r>
        <w:lastRenderedPageBreak/>
        <w:t>4. Ресурсное обеспечение Программы</w:t>
      </w:r>
    </w:p>
    <w:bookmarkEnd w:id="16"/>
    <w:p w:rsidR="00000000" w:rsidRDefault="006B5D00"/>
    <w:p w:rsidR="00000000" w:rsidRDefault="006B5D00">
      <w:r>
        <w:t xml:space="preserve">Государственная поддержка реализации Программы будет осуществляться в соответствии с условиями реализации </w:t>
      </w:r>
      <w:hyperlink r:id="rId14" w:history="1">
        <w:r>
          <w:rPr>
            <w:rStyle w:val="a4"/>
          </w:rPr>
          <w:t>федеральной целевой программы</w:t>
        </w:r>
      </w:hyperlink>
      <w:r>
        <w:t xml:space="preserve"> "Жилище" на 2002-2010 годы, утвержденной </w:t>
      </w:r>
      <w:hyperlink r:id="rId15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Российской Федерации от 31 декабря 2005 г. N 865 и нормативно-правовыми актами Чеченской Республики.</w:t>
      </w:r>
    </w:p>
    <w:p w:rsidR="00000000" w:rsidRDefault="006B5D00">
      <w:r>
        <w:t>Реализация Программы в 2008-2011 годах предусматривает предоставление за счет республиканского и местных бюджетов гарантий по кредит</w:t>
      </w:r>
      <w:r>
        <w:t>ам на обеспечение земельных участков для жилищного строительства коммунальной инфраструктурой в общем объеме 258,00 млн. рублей и субсидирование процентных ставок по привлеченным кредитам в размере 40,00 млн. рублей, а также предоставление из бюджета Чечен</w:t>
      </w:r>
      <w:r>
        <w:t>ской Республики субсидий на разработку градостроительной и проектной документации в размере 49,00 млн. рублей.</w:t>
      </w:r>
    </w:p>
    <w:p w:rsidR="00000000" w:rsidRDefault="006B5D00">
      <w:r>
        <w:t>Конкретные объемы средств из республиканского и федерального и местных бюджетов, направляемые на предоставление субсидий и гарантий, могут коррек</w:t>
      </w:r>
      <w:r>
        <w:t>тироваться в зависимости от количества участников Программы, сроков кредитования, уровня рыночных процентных ставок по кредитам, условий реализации Программы и других факторов.</w:t>
      </w:r>
    </w:p>
    <w:p w:rsidR="00000000" w:rsidRDefault="006B5D00">
      <w:r>
        <w:t>Ежегодные объемы субсидий, направляемые на разработку градостроительной докумен</w:t>
      </w:r>
      <w:r>
        <w:t>тации, определяются Правительством Чеченской Республики на основании представления Государственного комитета Чеченской Республики по архитектуре и градостроительству.</w:t>
      </w:r>
    </w:p>
    <w:p w:rsidR="00000000" w:rsidRDefault="006B5D00">
      <w:r>
        <w:t>Планируется, что реализация Программы позволит создать три дополнительных источника посту</w:t>
      </w:r>
      <w:r>
        <w:t>пления денежных средств:</w:t>
      </w:r>
    </w:p>
    <w:p w:rsidR="00000000" w:rsidRDefault="006B5D00">
      <w:r>
        <w:t>- продажа (передача в аренду) земли в районах, обеспеченных коммунальной инфраструктурой, застройщикам;</w:t>
      </w:r>
    </w:p>
    <w:p w:rsidR="00000000" w:rsidRDefault="006B5D00">
      <w:r>
        <w:t>- оплата в виде тарифа за подключение к объектам коммунальной инфраструктуры;</w:t>
      </w:r>
    </w:p>
    <w:p w:rsidR="00000000" w:rsidRDefault="006B5D00">
      <w:r>
        <w:t>- продажа жилья, построенного на сформированных з</w:t>
      </w:r>
      <w:r>
        <w:t>емельных участках в последующие периоды.</w:t>
      </w:r>
    </w:p>
    <w:p w:rsidR="00000000" w:rsidRDefault="006B5D00">
      <w:r>
        <w:t>Число участников Программы определяется с учетом выделенных на текущий год средств республиканского и федерального бюджетов, предусмотренных размеров государственных гарантий Российской Федерации и Чеченской Республ</w:t>
      </w:r>
      <w:r>
        <w:t>ики и принятых в предыдущие годы обязательств по размерам государственной поддержки на реализацию инвестиционных проектов, а также размеров заявленной финансовой поддержки за счет средств местных бюджетов.</w:t>
      </w:r>
    </w:p>
    <w:p w:rsidR="00000000" w:rsidRDefault="006B5D00">
      <w:r>
        <w:t>Меры поддержки за счет средств федерального бюджет</w:t>
      </w:r>
      <w:r>
        <w:t>а будут осуществляться на условиях оказания на республиканском или местном уровнях аналогичных мер поддержки инвестиционных проектов по обеспечению земельных участков под жилищное строительство коммунальной инфраструктурой в соответствии с требованиями, ус</w:t>
      </w:r>
      <w:r>
        <w:t>тановленными Подпрограммой. Объем средств федерального бюджета и размер государственных гарантий Российской Федерации, предоставляемых для поддержки реализации инвестиционных проектов в Чеченской Республике, будут не больше объема средств бюджета Чеченской</w:t>
      </w:r>
      <w:r>
        <w:t xml:space="preserve"> Республики и местных бюджетов и размера государственных гарантий Чеченской Республики и муниципальных гарантий (гарантий административных образований) ЧР, предоставляемых на поддержку реализации этих проектов. При этом возможны различные сочетания мер под</w:t>
      </w:r>
      <w:r>
        <w:t xml:space="preserve">держки инвестиционных проектов на республиканском, местном и федеральном уровнях. Например, Российская Федерация, Чеченская Республика и органы местного самоуправления могут предоставлять гарантии и возмещать часть затрат на* уплату </w:t>
      </w:r>
      <w:r>
        <w:lastRenderedPageBreak/>
        <w:t xml:space="preserve">процентов как по одним </w:t>
      </w:r>
      <w:r>
        <w:t>и тем же, так и по разным кредитам.</w:t>
      </w:r>
    </w:p>
    <w:p w:rsidR="00000000" w:rsidRDefault="006B5D00">
      <w:r>
        <w:t xml:space="preserve">Предварительные объемы финансирования приведены в </w:t>
      </w:r>
      <w:hyperlink w:anchor="sub_3000" w:history="1">
        <w:r>
          <w:rPr>
            <w:rStyle w:val="a4"/>
          </w:rPr>
          <w:t>приложении N 2</w:t>
        </w:r>
      </w:hyperlink>
      <w:r>
        <w:t>.</w:t>
      </w:r>
    </w:p>
    <w:p w:rsidR="00000000" w:rsidRDefault="006B5D00"/>
    <w:p w:rsidR="00000000" w:rsidRDefault="006B5D00">
      <w:pPr>
        <w:pStyle w:val="1"/>
      </w:pPr>
      <w:bookmarkStart w:id="17" w:name="sub_500"/>
      <w:r>
        <w:t>5. Организация управления и механизм реализации</w:t>
      </w:r>
    </w:p>
    <w:bookmarkEnd w:id="17"/>
    <w:p w:rsidR="00000000" w:rsidRDefault="006B5D00"/>
    <w:p w:rsidR="00000000" w:rsidRDefault="006B5D00">
      <w:r>
        <w:t>Министерство экономического развития и торговли Чеченской Респуб</w:t>
      </w:r>
      <w:r>
        <w:t>лики осуществляет мониторинг исполнения мероприятий Программы, координирует взаимодействие органов исполнительной власти республики по вопросам обустройства земельных участков инженерной инфраструктурой, оказывает содействие органам местного самоуправления</w:t>
      </w:r>
      <w:r>
        <w:t xml:space="preserve"> по разработке нормативной правовой документации при подготовке муниципальных программ. Текущее управление реализацией Программы производится Министерством ЖКХ ЧР (далее - Министерство) которое осуществляет:</w:t>
      </w:r>
    </w:p>
    <w:p w:rsidR="00000000" w:rsidRDefault="006B5D00">
      <w:r>
        <w:t>- общее руководство и управление реализацией Про</w:t>
      </w:r>
      <w:r>
        <w:t>граммы;</w:t>
      </w:r>
    </w:p>
    <w:p w:rsidR="00000000" w:rsidRDefault="006B5D00">
      <w:r>
        <w:t>- сбор информации и заявок от муниципальных (административных) образований по объектам для выделения финансовой помощи на соответствующий год;</w:t>
      </w:r>
    </w:p>
    <w:p w:rsidR="00000000" w:rsidRDefault="006B5D00">
      <w:r>
        <w:t>- отбор муниципальных (административных) образований, участвующих в реализации Программы, и инвестиционны</w:t>
      </w:r>
      <w:r>
        <w:t>х проектов по обеспечению земельных участков под жилищное строительство коммунальной инфраструктурой;</w:t>
      </w:r>
    </w:p>
    <w:p w:rsidR="00000000" w:rsidRDefault="006B5D00">
      <w:r>
        <w:t>- формирование проекта перечня строек на выделение финансовой помощи для выполнения Программы в соответствующем году;</w:t>
      </w:r>
    </w:p>
    <w:p w:rsidR="00000000" w:rsidRDefault="006B5D00">
      <w:r>
        <w:t>- подготовку предложений по корректи</w:t>
      </w:r>
      <w:r>
        <w:t>ровке Программы;</w:t>
      </w:r>
    </w:p>
    <w:p w:rsidR="00000000" w:rsidRDefault="006B5D00">
      <w:r>
        <w:t>- координацию Программы с другими республиканскими целевыми программами, направленными на развитие жилищного строительства и повышение доступности жилья населению;</w:t>
      </w:r>
    </w:p>
    <w:p w:rsidR="00000000" w:rsidRDefault="006B5D00">
      <w:r>
        <w:t>- подготовку заявок на участие в конкурсном отборе в рамках реализации подп</w:t>
      </w:r>
      <w:r>
        <w:t xml:space="preserve">рограммы "Обеспечение земельных участков коммунальной инфраструктурой в целях жилищного строительства" </w:t>
      </w:r>
      <w:hyperlink r:id="rId16" w:history="1">
        <w:r>
          <w:rPr>
            <w:rStyle w:val="a4"/>
          </w:rPr>
          <w:t>федеральной целевой программы</w:t>
        </w:r>
      </w:hyperlink>
      <w:r>
        <w:t xml:space="preserve"> "Жилище" на 2002 - 2010 годы;</w:t>
      </w:r>
    </w:p>
    <w:p w:rsidR="00000000" w:rsidRDefault="006B5D00">
      <w:r>
        <w:t>- подготовку отчетов о ходе выполнения Программы;</w:t>
      </w:r>
    </w:p>
    <w:p w:rsidR="00000000" w:rsidRDefault="006B5D00">
      <w:r>
        <w:t>- кон</w:t>
      </w:r>
      <w:r>
        <w:t>троль над эффективным использованием средств, выделяемых на реализацию Программы;</w:t>
      </w:r>
    </w:p>
    <w:p w:rsidR="00000000" w:rsidRDefault="006B5D00">
      <w:r>
        <w:t>- взаимодействие с Федеральным агентством по строительству и жилищно-коммунальному хозяйству в рамках реализации Подпрограммы.</w:t>
      </w:r>
    </w:p>
    <w:p w:rsidR="00000000" w:rsidRDefault="006B5D00">
      <w:r>
        <w:t>Органы местного самоуправления в пределах своей</w:t>
      </w:r>
      <w:r>
        <w:t xml:space="preserve"> компетенции осуществляют:</w:t>
      </w:r>
    </w:p>
    <w:p w:rsidR="00000000" w:rsidRDefault="006B5D00">
      <w:r>
        <w:t>- подготовку сведений о наличии подготовленных земельных участков;</w:t>
      </w:r>
    </w:p>
    <w:p w:rsidR="00000000" w:rsidRDefault="006B5D00">
      <w:r>
        <w:t>- разработку градостроительной документации по застройке территорий;</w:t>
      </w:r>
    </w:p>
    <w:p w:rsidR="00000000" w:rsidRDefault="006B5D00">
      <w:r>
        <w:t>- оформление земельных участков, обеспеченных инженерной инфраструктурой;</w:t>
      </w:r>
    </w:p>
    <w:p w:rsidR="00000000" w:rsidRDefault="006B5D00">
      <w:r>
        <w:t>- подготовку инвестиционных-проектов по обеспечению земельных участков коммунальной инфраструктурой для жилищного строительства;</w:t>
      </w:r>
    </w:p>
    <w:p w:rsidR="00000000" w:rsidRDefault="006B5D00">
      <w:r>
        <w:t>- финансирование мероприятий Программы за счет средств местных бюджетов;</w:t>
      </w:r>
    </w:p>
    <w:p w:rsidR="00000000" w:rsidRDefault="006B5D00">
      <w:r>
        <w:t>- контроль над реализацией Программы на территории мун</w:t>
      </w:r>
      <w:r>
        <w:t>иципального образования;</w:t>
      </w:r>
    </w:p>
    <w:p w:rsidR="00000000" w:rsidRDefault="006B5D00">
      <w:r>
        <w:t>- привлечение для выполнения Программы на конкурсной основе участника и заключение с ним соответствующих договоров;</w:t>
      </w:r>
    </w:p>
    <w:p w:rsidR="00000000" w:rsidRDefault="006B5D00">
      <w:r>
        <w:t>- предоставление отчетов о реализации Программы по форме, утверждаемой заказчиком Программы.</w:t>
      </w:r>
    </w:p>
    <w:p w:rsidR="00000000" w:rsidRDefault="006B5D00">
      <w:r>
        <w:t>Текущее управление реа</w:t>
      </w:r>
      <w:r>
        <w:t>лизацией Программы заказчиком Программы осуществляется на основе соглашений, заключаемым с участниками Программы и Государственным заказчиком.</w:t>
      </w:r>
    </w:p>
    <w:p w:rsidR="00000000" w:rsidRDefault="006B5D00">
      <w:r>
        <w:lastRenderedPageBreak/>
        <w:t>Гарантии из республиканского бюджета предоставляются по представлениям Министерства, которые вносятся в министерс</w:t>
      </w:r>
      <w:r>
        <w:t>тво финансов Чеченской Республики по результатам проведенного отбора муниципальных (административных) образований и проектов. Заемщики, в отношении которых Правительством Чеченской Республики принято решение о предоставлении гарантий, обращаются в министер</w:t>
      </w:r>
      <w:r>
        <w:t>ство финансов Чеченской Республики для заключения договора о предоставлении гарантий.</w:t>
      </w:r>
    </w:p>
    <w:p w:rsidR="00000000" w:rsidRDefault="006B5D00">
      <w:r>
        <w:t>Бюджетные средства на предоставление субсидий на возмещение части затрат на уплату процентов по кредитам, полученным в российских кредитных организациях на обеспечение зе</w:t>
      </w:r>
      <w:r>
        <w:t>мельных участков под жилищное строительство коммунальной инфраструктурой, направляются на счета местных органов исполнительной власти, отобранных для участия в Программе, после заключения соглашения с Министерством и на основании документов, подтверждающих</w:t>
      </w:r>
      <w:r>
        <w:t xml:space="preserve"> своевременное исполнение текущих обязательств по кредиту, если иное не установлено Правилами и Порядком.</w:t>
      </w:r>
    </w:p>
    <w:p w:rsidR="00000000" w:rsidRDefault="006B5D00"/>
    <w:p w:rsidR="00000000" w:rsidRDefault="006B5D00">
      <w:pPr>
        <w:pStyle w:val="1"/>
      </w:pPr>
      <w:bookmarkStart w:id="18" w:name="sub_600"/>
      <w:r>
        <w:t>6. Оценка социально-экономической эффективности Программы</w:t>
      </w:r>
    </w:p>
    <w:bookmarkEnd w:id="18"/>
    <w:p w:rsidR="00000000" w:rsidRDefault="006B5D00"/>
    <w:p w:rsidR="00000000" w:rsidRDefault="006B5D00">
      <w:r>
        <w:t xml:space="preserve">Реализация Программы обеспечит увеличение объемов жилищного строительства и </w:t>
      </w:r>
      <w:r>
        <w:t>развитие первичного рынка жилья, формирование эффективных механизмов регулирования градостроительной деятельности и развития коммунальной инфраструктуры, приток частных инвестиций в сектор жилищного строительства.</w:t>
      </w:r>
    </w:p>
    <w:p w:rsidR="00000000" w:rsidRDefault="006B5D00">
      <w:r>
        <w:t>Создание рыночных механизмов финансировани</w:t>
      </w:r>
      <w:r>
        <w:t>я обустройства земельных участков коммунальной инфраструктурой для жилищного строительства обеспечит стимулирование снижения стоимости строительства одного квадратного метра жилого помещения и вовлечет в процесс строительства новые площадки.</w:t>
      </w:r>
    </w:p>
    <w:p w:rsidR="00000000" w:rsidRDefault="006B5D00">
      <w:r>
        <w:t>В рамках реали</w:t>
      </w:r>
      <w:r>
        <w:t>зации Программы планируется дополнительный ввод в эксплуатацию жилых помещений общей площадью 278,2 тыс. кв.м., в том числе:</w:t>
      </w:r>
    </w:p>
    <w:p w:rsidR="00000000" w:rsidRDefault="006B5D00">
      <w:r>
        <w:t>2009 г. - 82,8 тыс. кв. м.,</w:t>
      </w:r>
    </w:p>
    <w:p w:rsidR="00000000" w:rsidRDefault="006B5D00">
      <w:r>
        <w:t>2010 г. - 91,6тыс.кв. м.,</w:t>
      </w:r>
    </w:p>
    <w:p w:rsidR="00000000" w:rsidRDefault="006B5D00">
      <w:r>
        <w:t>2011 г. - 103,8 тыс.кв.м.</w:t>
      </w:r>
    </w:p>
    <w:p w:rsidR="00000000" w:rsidRDefault="006B5D00"/>
    <w:p w:rsidR="00000000" w:rsidRDefault="006B5D00">
      <w:pPr>
        <w:ind w:firstLine="698"/>
        <w:jc w:val="right"/>
      </w:pPr>
      <w:bookmarkStart w:id="19" w:name="sub_2000"/>
      <w:r>
        <w:rPr>
          <w:rStyle w:val="a3"/>
        </w:rPr>
        <w:t>Приложение N 1</w:t>
      </w:r>
    </w:p>
    <w:bookmarkEnd w:id="19"/>
    <w:p w:rsidR="00000000" w:rsidRDefault="006B5D00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республиканской программе</w:t>
        </w:r>
      </w:hyperlink>
    </w:p>
    <w:p w:rsidR="00000000" w:rsidRDefault="006B5D00">
      <w:pPr>
        <w:ind w:firstLine="698"/>
        <w:jc w:val="right"/>
      </w:pPr>
      <w:r>
        <w:rPr>
          <w:rStyle w:val="a3"/>
        </w:rPr>
        <w:t>"Обеспечение земельных участков</w:t>
      </w:r>
    </w:p>
    <w:p w:rsidR="00000000" w:rsidRDefault="006B5D00">
      <w:pPr>
        <w:ind w:firstLine="698"/>
        <w:jc w:val="right"/>
      </w:pPr>
      <w:r>
        <w:rPr>
          <w:rStyle w:val="a3"/>
        </w:rPr>
        <w:t>коммунальной инфраструктурой</w:t>
      </w:r>
    </w:p>
    <w:p w:rsidR="00000000" w:rsidRDefault="006B5D00">
      <w:pPr>
        <w:ind w:firstLine="698"/>
        <w:jc w:val="right"/>
      </w:pPr>
      <w:r>
        <w:rPr>
          <w:rStyle w:val="a3"/>
        </w:rPr>
        <w:t>в целях жилищного строительства"</w:t>
      </w:r>
    </w:p>
    <w:p w:rsidR="00000000" w:rsidRDefault="006B5D00">
      <w:pPr>
        <w:ind w:firstLine="698"/>
        <w:jc w:val="right"/>
      </w:pPr>
      <w:r>
        <w:rPr>
          <w:rStyle w:val="a3"/>
        </w:rPr>
        <w:t>на 2008-2011 гг.</w:t>
      </w:r>
    </w:p>
    <w:p w:rsidR="00000000" w:rsidRDefault="006B5D00"/>
    <w:p w:rsidR="00000000" w:rsidRDefault="006B5D00">
      <w:pPr>
        <w:pStyle w:val="1"/>
      </w:pPr>
      <w:r>
        <w:t>Перечень</w:t>
      </w:r>
      <w:r>
        <w:br/>
        <w:t>основных мероприятий по реализации республиканской программы</w:t>
      </w:r>
      <w:r>
        <w:br/>
      </w:r>
      <w:r>
        <w:t>"Обеспечение земельных участков коммунальной инфраструктурой</w:t>
      </w:r>
      <w:r>
        <w:br/>
        <w:t>в целях жилищного строительства" на 2007-2011 гг.</w:t>
      </w:r>
    </w:p>
    <w:p w:rsidR="00000000" w:rsidRDefault="006B5D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4997"/>
        <w:gridCol w:w="1687"/>
        <w:gridCol w:w="2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закона Чеченской Республики об отборе муниципальных (административных) образований и инвестиционных проектов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 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МЖКХЧР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проекта постановления </w:t>
            </w:r>
            <w:r>
              <w:rPr>
                <w:sz w:val="23"/>
                <w:szCs w:val="23"/>
              </w:rPr>
              <w:lastRenderedPageBreak/>
              <w:t>Правительства Чеченской Республики "О порядке предоставления государственных</w:t>
            </w:r>
            <w:r>
              <w:rPr>
                <w:sz w:val="23"/>
                <w:szCs w:val="23"/>
              </w:rPr>
              <w:t xml:space="preserve"> гарантий Чеченской Республики по заимствованиям, осуществляемым на обеспечение земельных участков инженерной инфраструктурой и модернизацию коммунальной инфраструктуры"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2008 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МЖКХ ЧР, </w:t>
            </w:r>
            <w:r>
              <w:rPr>
                <w:sz w:val="23"/>
                <w:szCs w:val="23"/>
              </w:rPr>
              <w:lastRenderedPageBreak/>
              <w:t>министерство финансов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постановления Правительства Чеченской Республики "О правилах предоставления субсидий бюджетам муниципальных образований Чеченской Республики на возмещение части затрат на уплату процентов по кредитам, полученным в российских кредитных ор</w:t>
            </w:r>
            <w:r>
              <w:rPr>
                <w:sz w:val="23"/>
                <w:szCs w:val="23"/>
              </w:rPr>
              <w:t>ганизациях на обеспечение земельных участков под жилищное строительство коммунальной инфраструктурой"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 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МЖКХ ЧР, министерство финансов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методических рекомендаций и содействие в подготовке проектов планировки территорий для формирован</w:t>
            </w:r>
            <w:r>
              <w:rPr>
                <w:sz w:val="23"/>
                <w:szCs w:val="23"/>
              </w:rPr>
              <w:t>ия пакетов документов, необходимых для проведения аукционов по предоставлению прав на земельные участки под жилищное строительство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2008-2009 гг.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Госкомитет по архитектуре и градостроительству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методических рекомендаций по подготовке инвести</w:t>
            </w:r>
            <w:r>
              <w:rPr>
                <w:sz w:val="23"/>
                <w:szCs w:val="23"/>
              </w:rPr>
              <w:t>ционных проектов по обеспечению земельных участков под жилищное строительство коммунальной инфраструктурой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 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Минэкономразвития ЧР,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Отбор му</w:t>
            </w:r>
            <w:r>
              <w:rPr>
                <w:sz w:val="23"/>
                <w:szCs w:val="23"/>
              </w:rPr>
              <w:t>ниципальных (административных) образований и инвестиционных проектов по обеспечению земельных участков под жилищное строительство коммунальной инфраструктурой на региональном уровне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МЖКХЧР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за заключением кредитных договоров, обеспеченн</w:t>
            </w:r>
            <w:r>
              <w:rPr>
                <w:sz w:val="23"/>
                <w:szCs w:val="23"/>
              </w:rPr>
              <w:t>ых государственными (муниципальными) гарантиями, на условиях возмещения части затрат на уплату процентов по кредитам за счет бюджетных средств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МЖКХ ЧР, муниципальные образования (администрации городов и районов)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реализация инвес</w:t>
            </w:r>
            <w:r>
              <w:rPr>
                <w:sz w:val="23"/>
                <w:szCs w:val="23"/>
              </w:rPr>
              <w:t>тиционных проектов по обеспечению земельных участков под жилищное строительство коммунальной инфраструктурой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2008-2011 гг.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образования (администрации городов и районов) ЧР, застройщики, организации коммунального комплекса, банки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и оценка реализации инвестиционных проектов по обеспечению </w:t>
            </w:r>
            <w:r>
              <w:rPr>
                <w:sz w:val="23"/>
                <w:szCs w:val="23"/>
              </w:rPr>
              <w:lastRenderedPageBreak/>
              <w:t>земельных участков под, жилищное строительство коммунальной инфраструктурой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МЖКХ ЧР, Минэкономразвития </w:t>
            </w:r>
            <w:r>
              <w:rPr>
                <w:sz w:val="23"/>
                <w:szCs w:val="23"/>
              </w:rPr>
              <w:lastRenderedPageBreak/>
              <w:t>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градостроительной и проектной документации муниципальных</w:t>
            </w:r>
            <w:r>
              <w:rPr>
                <w:sz w:val="23"/>
                <w:szCs w:val="23"/>
              </w:rPr>
              <w:t xml:space="preserve"> (административных) образований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2008-2011 гг.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образования (администрации городов и районов) ЧР, Госкомитет по архитектуре и градостроительству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программ комплексного развития коммунальной инфраструктуры с учетом перспективног</w:t>
            </w:r>
            <w:r>
              <w:rPr>
                <w:sz w:val="23"/>
                <w:szCs w:val="23"/>
              </w:rPr>
              <w:t>о развития муниципальных образований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 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образования (администрации городов и районов) ЧР, Госкомитет по архитектуре и градостроительству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и утверждение пакета документов, необходимых для проведения аукционов по предост</w:t>
            </w:r>
            <w:r>
              <w:rPr>
                <w:sz w:val="23"/>
                <w:szCs w:val="23"/>
              </w:rPr>
              <w:t>авлению прав на земельные участки под жилищное строительстве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2008-2009 гг.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имущественных и земельных отношений ЧР, муниципальные образования (администрации городов и районов)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и утверждение тарифов на подключение к системам коммунальной инфраструктуры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2008-2009 гг.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образования (администрации городов и районов) ЧР, органы регулирования тарифов</w:t>
            </w:r>
          </w:p>
        </w:tc>
      </w:tr>
    </w:tbl>
    <w:p w:rsidR="00000000" w:rsidRDefault="006B5D00"/>
    <w:p w:rsidR="00000000" w:rsidRDefault="006B5D00">
      <w:pPr>
        <w:ind w:firstLine="698"/>
        <w:jc w:val="right"/>
      </w:pPr>
      <w:bookmarkStart w:id="20" w:name="sub_3000"/>
      <w:r>
        <w:rPr>
          <w:rStyle w:val="a3"/>
        </w:rPr>
        <w:t>Приложение N 2</w:t>
      </w:r>
    </w:p>
    <w:bookmarkEnd w:id="20"/>
    <w:p w:rsidR="00000000" w:rsidRDefault="006B5D00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ре</w:t>
        </w:r>
        <w:r>
          <w:rPr>
            <w:rStyle w:val="a4"/>
            <w:b/>
            <w:bCs/>
          </w:rPr>
          <w:t>спубликанской программе</w:t>
        </w:r>
      </w:hyperlink>
    </w:p>
    <w:p w:rsidR="00000000" w:rsidRDefault="006B5D00">
      <w:pPr>
        <w:ind w:firstLine="698"/>
        <w:jc w:val="right"/>
      </w:pPr>
      <w:r>
        <w:rPr>
          <w:rStyle w:val="a3"/>
        </w:rPr>
        <w:t>"Обеспечение земельных участков коммунальной</w:t>
      </w:r>
    </w:p>
    <w:p w:rsidR="00000000" w:rsidRDefault="006B5D00">
      <w:pPr>
        <w:ind w:firstLine="698"/>
        <w:jc w:val="right"/>
      </w:pPr>
      <w:r>
        <w:rPr>
          <w:rStyle w:val="a3"/>
        </w:rPr>
        <w:t>инфраструктурой в целях жилищного строительства"</w:t>
      </w:r>
    </w:p>
    <w:p w:rsidR="00000000" w:rsidRDefault="006B5D00">
      <w:pPr>
        <w:ind w:firstLine="698"/>
        <w:jc w:val="right"/>
      </w:pPr>
      <w:r>
        <w:rPr>
          <w:rStyle w:val="a3"/>
        </w:rPr>
        <w:t>на 2008-2011 годы</w:t>
      </w:r>
    </w:p>
    <w:p w:rsidR="00000000" w:rsidRDefault="006B5D00"/>
    <w:p w:rsidR="00000000" w:rsidRDefault="006B5D00">
      <w:pPr>
        <w:pStyle w:val="1"/>
      </w:pPr>
      <w:r>
        <w:t>Предварительные объемы финансирования</w:t>
      </w:r>
      <w:r>
        <w:br/>
        <w:t>республиканской программы "Обеспечение земельных</w:t>
      </w:r>
      <w:r>
        <w:br/>
      </w:r>
      <w:r>
        <w:t>участков коммунальной инфраструктурой в целях жилищного</w:t>
      </w:r>
      <w:r>
        <w:br/>
        <w:t>строительства" на 2008-2011 годы за счет средств бюджета</w:t>
      </w:r>
      <w:r>
        <w:br/>
        <w:t>Чеченской Республики и местных бюджетов</w:t>
      </w:r>
      <w:hyperlink w:anchor="sub_9" w:history="1">
        <w:r>
          <w:rPr>
            <w:rStyle w:val="a4"/>
          </w:rPr>
          <w:t>*</w:t>
        </w:r>
      </w:hyperlink>
    </w:p>
    <w:p w:rsidR="00000000" w:rsidRDefault="006B5D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1994"/>
        <w:gridCol w:w="1099"/>
        <w:gridCol w:w="1151"/>
        <w:gridCol w:w="1182"/>
        <w:gridCol w:w="1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и направления финансирования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2008-2011 годы -всего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08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2009 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 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гарантии по кредитам, в том </w:t>
            </w:r>
            <w:r>
              <w:rPr>
                <w:sz w:val="23"/>
                <w:szCs w:val="23"/>
              </w:rPr>
              <w:lastRenderedPageBreak/>
              <w:t>числе: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258,00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гарантии Чеченской Республики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гарантии муниципальных образований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 на в</w:t>
            </w:r>
            <w:r>
              <w:rPr>
                <w:sz w:val="23"/>
                <w:szCs w:val="23"/>
              </w:rPr>
              <w:t>озмещение части затрат на уплату процентов по кредитам, в том числе: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республиканского бюджета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местных бюджетов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разработку градостроительной и проектной документации, в том числе: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D00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18,00</w:t>
            </w:r>
          </w:p>
        </w:tc>
      </w:tr>
    </w:tbl>
    <w:p w:rsidR="00000000" w:rsidRDefault="006B5D00"/>
    <w:p w:rsidR="006B5D00" w:rsidRDefault="006B5D00">
      <w:bookmarkStart w:id="21" w:name="sub_9"/>
      <w:r>
        <w:t>*Конкретные объемы средств из местного, республика</w:t>
      </w:r>
      <w:r>
        <w:t xml:space="preserve">нского и федерального бюджетов, направляемые на предоставление субсидий и гарантий, могут корректироваться в зависимости от количества участников Программы, сроков кредитования, уровня рыночных процентных ставок по кредитам, условий реализации Программы и </w:t>
      </w:r>
      <w:r>
        <w:t>других факторов.</w:t>
      </w:r>
      <w:bookmarkEnd w:id="21"/>
    </w:p>
    <w:sectPr w:rsidR="006B5D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CC"/>
    <w:rsid w:val="006B5D00"/>
    <w:rsid w:val="00E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7239.0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5901263.0" TargetMode="External"/><Relationship Id="rId12" Type="http://schemas.openxmlformats.org/officeDocument/2006/relationships/hyperlink" Target="garantF1://2207239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2206859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206859.1000" TargetMode="External"/><Relationship Id="rId11" Type="http://schemas.openxmlformats.org/officeDocument/2006/relationships/hyperlink" Target="garantF1://2206859.1000" TargetMode="External"/><Relationship Id="rId5" Type="http://schemas.openxmlformats.org/officeDocument/2006/relationships/hyperlink" Target="garantF1://2206859.1000" TargetMode="External"/><Relationship Id="rId15" Type="http://schemas.openxmlformats.org/officeDocument/2006/relationships/hyperlink" Target="garantF1://2207239.0" TargetMode="External"/><Relationship Id="rId10" Type="http://schemas.openxmlformats.org/officeDocument/2006/relationships/hyperlink" Target="garantF1://100800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06859.1000" TargetMode="External"/><Relationship Id="rId14" Type="http://schemas.openxmlformats.org/officeDocument/2006/relationships/hyperlink" Target="garantF1://220685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2014-08-05T10:29:00Z</dcterms:created>
  <dcterms:modified xsi:type="dcterms:W3CDTF">2014-08-05T10:29:00Z</dcterms:modified>
</cp:coreProperties>
</file>