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7B8D">
      <w:pPr>
        <w:pStyle w:val="afa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ГАРАНТ:</w:t>
      </w:r>
    </w:p>
    <w:bookmarkStart w:id="1" w:name="sub_1672560956"/>
    <w:p w:rsidR="00000000" w:rsidRDefault="00CC7B8D">
      <w:pPr>
        <w:pStyle w:val="afa"/>
      </w:pPr>
      <w:r>
        <w:fldChar w:fldCharType="begin"/>
      </w:r>
      <w:r>
        <w:instrText>HYPERLINK "garantF1://35814200.23"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Чеченской Республики от 19 декабря 2013 г. N 353 настоящее постановление признано утратившим силу с 1 января 2014 г.</w:t>
      </w:r>
    </w:p>
    <w:bookmarkEnd w:id="1"/>
    <w:p w:rsidR="00000000" w:rsidRDefault="00CC7B8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" w:name="sub_1672561280"/>
    <w:p w:rsidR="00000000" w:rsidRDefault="00CC7B8D">
      <w:pPr>
        <w:pStyle w:val="afb"/>
      </w:pPr>
      <w:r>
        <w:fldChar w:fldCharType="begin"/>
      </w:r>
      <w:r>
        <w:instrText>HYPERLINK "garantF1://35812207.101"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Чеченской Республики от 4 марта 2013 г. N 57 в наименование настоящего постановления внесены изменения, </w:t>
      </w:r>
      <w:hyperlink r:id="rId5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bookmarkEnd w:id="2"/>
    <w:p w:rsidR="00000000" w:rsidRDefault="00CC7B8D">
      <w:pPr>
        <w:pStyle w:val="afb"/>
      </w:pPr>
      <w:r>
        <w:t>См. текст наименования в предыдущей редакции</w:t>
      </w:r>
    </w:p>
    <w:p w:rsidR="00000000" w:rsidRDefault="00CC7B8D">
      <w:pPr>
        <w:pStyle w:val="1"/>
      </w:pPr>
      <w:r>
        <w:t>Постановление Правительства Чеченской Республики</w:t>
      </w:r>
      <w:r>
        <w:br/>
        <w:t>от 23 декабря 2008 г. N 241</w:t>
      </w:r>
      <w:r>
        <w:br/>
        <w:t>"</w:t>
      </w:r>
      <w:r>
        <w:t>О республиканской целевой программе "Повышение устойчивости жилых домов, основных объектов и систем жизнеобеспечения на территории Чеченской Республики на 2009-2018 годы"</w:t>
      </w:r>
    </w:p>
    <w:p w:rsidR="00000000" w:rsidRDefault="00CC7B8D"/>
    <w:p w:rsidR="00000000" w:rsidRDefault="00CC7B8D">
      <w:r>
        <w:t xml:space="preserve">В целях проведения мероприятий по повышению устойчивости основных объектов и систем </w:t>
      </w:r>
      <w:r>
        <w:t>жизнеобеспечения на территории Чеченской Республики Правительство Чеченской Республики</w:t>
      </w:r>
    </w:p>
    <w:p w:rsidR="00000000" w:rsidRDefault="00CC7B8D">
      <w:r>
        <w:t>Постановляет:</w:t>
      </w:r>
    </w:p>
    <w:p w:rsidR="00000000" w:rsidRDefault="00CC7B8D">
      <w:pPr>
        <w:pStyle w:val="afa"/>
        <w:rPr>
          <w:color w:val="000000"/>
          <w:sz w:val="16"/>
          <w:szCs w:val="16"/>
        </w:rPr>
      </w:pPr>
      <w:bookmarkStart w:id="3" w:name="sub_1"/>
      <w:r>
        <w:rPr>
          <w:color w:val="000000"/>
          <w:sz w:val="16"/>
          <w:szCs w:val="16"/>
        </w:rPr>
        <w:t>Информация об изменениях:</w:t>
      </w:r>
    </w:p>
    <w:bookmarkStart w:id="4" w:name="sub_1672570908"/>
    <w:bookmarkEnd w:id="3"/>
    <w:p w:rsidR="00000000" w:rsidRDefault="00CC7B8D">
      <w:pPr>
        <w:pStyle w:val="afb"/>
      </w:pPr>
      <w:r>
        <w:fldChar w:fldCharType="begin"/>
      </w:r>
      <w:r>
        <w:instrText>HYPERLINK "garantF1://35812207.101"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Чеченской Республики от 4 марта 2013 г</w:t>
      </w:r>
      <w:r>
        <w:t xml:space="preserve">. N 57 в пункт 1 настоящего постановления внесены изменения, </w:t>
      </w:r>
      <w:hyperlink r:id="rId7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bookmarkEnd w:id="4"/>
    <w:p w:rsidR="00000000" w:rsidRDefault="00CC7B8D">
      <w:pPr>
        <w:pStyle w:val="afb"/>
      </w:pPr>
      <w:r>
        <w:t>См. текст пункта в предыдущей р</w:t>
      </w:r>
      <w:r>
        <w:t>едакции</w:t>
      </w:r>
    </w:p>
    <w:p w:rsidR="00000000" w:rsidRDefault="00CC7B8D">
      <w:r>
        <w:t xml:space="preserve">1. Утвердить прилагаемую </w:t>
      </w:r>
      <w:hyperlink w:anchor="sub_1000" w:history="1">
        <w:r>
          <w:rPr>
            <w:rStyle w:val="a4"/>
          </w:rPr>
          <w:t>республиканскую целевую программу</w:t>
        </w:r>
      </w:hyperlink>
      <w:r>
        <w:t xml:space="preserve"> "Повышение устойчивости жилых домов, основных объектов и систем жизнеобеспечения на территории Чеченской Республики на 2009-2018 годы" (далее - Программа).</w:t>
      </w:r>
    </w:p>
    <w:p w:rsidR="00000000" w:rsidRDefault="00CC7B8D">
      <w:bookmarkStart w:id="5" w:name="sub_2"/>
      <w:r>
        <w:t>2.</w:t>
      </w:r>
      <w:r>
        <w:t> Министерству экономического развития и торговли Чеченской Республики и министерству финансов Чеченской Республики при формировании проектов республиканского бюджета на соответствующие годы предусматривать средства на финансирование мероприятий Программы.</w:t>
      </w:r>
    </w:p>
    <w:p w:rsidR="00000000" w:rsidRDefault="00CC7B8D">
      <w:pPr>
        <w:pStyle w:val="afa"/>
        <w:rPr>
          <w:color w:val="000000"/>
          <w:sz w:val="16"/>
          <w:szCs w:val="16"/>
        </w:rPr>
      </w:pPr>
      <w:bookmarkStart w:id="6" w:name="sub_3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Start w:id="7" w:name="sub_1672574948"/>
    <w:bookmarkEnd w:id="6"/>
    <w:p w:rsidR="00000000" w:rsidRDefault="00CC7B8D">
      <w:pPr>
        <w:pStyle w:val="afb"/>
      </w:pPr>
      <w:r>
        <w:fldChar w:fldCharType="begin"/>
      </w:r>
      <w:r>
        <w:instrText>HYPERLINK "garantF1://35812207.102"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Чеченской Республики от 4 марта 2013 г. N 57 пункт 3 настоящего постановления изложен в новой редакции, </w:t>
      </w:r>
      <w:hyperlink r:id="rId9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bookmarkEnd w:id="7"/>
    <w:p w:rsidR="00000000" w:rsidRDefault="00CC7B8D">
      <w:pPr>
        <w:pStyle w:val="afb"/>
      </w:pPr>
      <w:r>
        <w:t>См. текст пункта в предыдущей редакции</w:t>
      </w:r>
    </w:p>
    <w:p w:rsidR="00000000" w:rsidRDefault="00CC7B8D">
      <w:r>
        <w:t>3. Контроль за выполнением настоящего постановления возложить на заместителя Предсе</w:t>
      </w:r>
      <w:r>
        <w:t>дателя Правительства Чеченской Республики - министра автомобильных дорог Чеченской Республики А.Б. Тумхаджиева.</w:t>
      </w:r>
    </w:p>
    <w:p w:rsidR="00000000" w:rsidRDefault="00CC7B8D">
      <w:bookmarkStart w:id="8" w:name="sub_4"/>
      <w:r>
        <w:t xml:space="preserve">4. Настоящее постановление вступает в силу со дня его </w:t>
      </w:r>
      <w:hyperlink r:id="rId11" w:history="1">
        <w:r>
          <w:rPr>
            <w:rStyle w:val="a4"/>
          </w:rPr>
          <w:t>опубликования</w:t>
        </w:r>
      </w:hyperlink>
      <w:r>
        <w:t>.</w:t>
      </w:r>
    </w:p>
    <w:bookmarkEnd w:id="8"/>
    <w:p w:rsidR="00000000" w:rsidRDefault="00CC7B8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B8D">
            <w:pPr>
              <w:pStyle w:val="afff"/>
            </w:pPr>
            <w:r>
              <w:t>Председатель Правительства Ч</w:t>
            </w:r>
            <w:r>
              <w:t>еченской Республики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7B8D">
            <w:pPr>
              <w:pStyle w:val="aff6"/>
              <w:jc w:val="right"/>
            </w:pPr>
            <w:r>
              <w:t>О.Х. Байсултанов</w:t>
            </w:r>
          </w:p>
        </w:tc>
      </w:tr>
    </w:tbl>
    <w:p w:rsidR="00000000" w:rsidRDefault="00CC7B8D"/>
    <w:p w:rsidR="00000000" w:rsidRDefault="00CC7B8D">
      <w:pPr>
        <w:pStyle w:val="afa"/>
        <w:rPr>
          <w:color w:val="000000"/>
          <w:sz w:val="16"/>
          <w:szCs w:val="16"/>
        </w:rPr>
      </w:pPr>
      <w:bookmarkStart w:id="9" w:name="sub_1000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CC7B8D">
      <w:pPr>
        <w:pStyle w:val="afb"/>
      </w:pPr>
      <w:r>
        <w:fldChar w:fldCharType="begin"/>
      </w:r>
      <w:r>
        <w:instrText>HYPERLINK "garantF1://35812207.20"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Чеченской Республики от 4 марта 2013 г. N </w:t>
      </w:r>
      <w:r>
        <w:t xml:space="preserve">57 настоящая Республиканская целевая программа изложена в новой редакции, </w:t>
      </w:r>
      <w:hyperlink r:id="rId12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1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CC7B8D">
      <w:pPr>
        <w:pStyle w:val="afb"/>
      </w:pPr>
      <w:r>
        <w:t>См. текст Республиканской целево</w:t>
      </w:r>
      <w:r>
        <w:t>й программы в предыдущей редакции</w:t>
      </w:r>
    </w:p>
    <w:p w:rsidR="00000000" w:rsidRDefault="00CC7B8D">
      <w:pPr>
        <w:pStyle w:val="1"/>
      </w:pPr>
      <w:r>
        <w:lastRenderedPageBreak/>
        <w:t>Республиканская целевая программа</w:t>
      </w:r>
      <w:r>
        <w:br/>
        <w:t>"Повышение устойчивости жилых домов, основных объектов и систем жизнеобеспечения на территории Чеченской Республики на период 2009-2018 годы"</w:t>
      </w:r>
    </w:p>
    <w:p w:rsidR="00000000" w:rsidRDefault="00CC7B8D"/>
    <w:p w:rsidR="00000000" w:rsidRDefault="00CC7B8D">
      <w:pPr>
        <w:pStyle w:val="afa"/>
        <w:rPr>
          <w:color w:val="000000"/>
          <w:sz w:val="16"/>
          <w:szCs w:val="16"/>
        </w:rPr>
      </w:pPr>
      <w:bookmarkStart w:id="10" w:name="sub_100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CC7B8D">
      <w:pPr>
        <w:pStyle w:val="afb"/>
      </w:pPr>
      <w:r>
        <w:fldChar w:fldCharType="begin"/>
      </w:r>
      <w:r>
        <w:instrText>HYPER</w:instrText>
      </w:r>
      <w:r>
        <w:instrText>LINK "garantF1://35813579.101"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Чеченской Республики от 3 декабря 2013 г. N 293 в паспорт настоящей Республиканской целевой программы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CC7B8D">
      <w:pPr>
        <w:pStyle w:val="afb"/>
      </w:pPr>
      <w:r>
        <w:t>См. текст паспорта в предыдущей редакции</w:t>
      </w:r>
    </w:p>
    <w:p w:rsidR="00000000" w:rsidRDefault="00CC7B8D">
      <w:pPr>
        <w:pStyle w:val="1"/>
      </w:pPr>
      <w:r>
        <w:t>Паспорт</w:t>
      </w:r>
      <w:r>
        <w:br/>
        <w:t>республиканской целевой программы "Повышение устойчивости жилых домов, основных объектов и систем жизнеобеспечения на территории Че</w:t>
      </w:r>
      <w:r>
        <w:t>ченской Республики на 2009-2018 годы"</w:t>
      </w:r>
    </w:p>
    <w:p w:rsidR="00000000" w:rsidRDefault="00CC7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840"/>
        <w:gridCol w:w="6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</w:pPr>
            <w:bookmarkStart w:id="11" w:name="sub_1006"/>
            <w:r>
              <w:t>Наименование Программы</w:t>
            </w:r>
            <w:bookmarkEnd w:id="11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</w:pPr>
            <w:r>
              <w:t>-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f"/>
            </w:pPr>
            <w:r>
              <w:t>Республиканская целевая программа "Повышение устойчивости жилых домов, основных объектов и систем жизнеобеспечения на территории Чеченской Республики на период 2009 - 2018 годо</w:t>
            </w:r>
            <w:r>
              <w:t>в" (далее - Программа)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</w:pPr>
            <w:r>
              <w:t>Основание для принятия решения о разработке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</w:pPr>
            <w:r>
              <w:t>-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f"/>
            </w:pPr>
            <w:r>
              <w:t>Распоряжение Правительства Чеченской Республики от 10 октября 2008 года N 490-р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</w:pPr>
            <w:bookmarkStart w:id="12" w:name="sub_1007"/>
            <w:r>
              <w:t>Государственный заказчик Программы</w:t>
            </w:r>
            <w:bookmarkEnd w:id="12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</w:pPr>
            <w:r>
              <w:t>-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f"/>
            </w:pPr>
            <w:r>
              <w:t>Министерство жилищно-коммунального хозяйства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</w:pPr>
            <w:bookmarkStart w:id="13" w:name="sub_1008"/>
            <w:r>
              <w:t>Цели Программы</w:t>
            </w:r>
            <w:bookmarkEnd w:id="13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f"/>
            </w:pPr>
            <w:r>
              <w:t>создание условий для устойчивого функционирования жилищного фонда, основных объектов и систем жизнеобеспечения на территории Чеченской Республики;</w:t>
            </w:r>
          </w:p>
          <w:p w:rsidR="00000000" w:rsidRDefault="00CC7B8D">
            <w:pPr>
              <w:pStyle w:val="afff"/>
            </w:pPr>
            <w:r>
              <w:t>достижение</w:t>
            </w:r>
            <w:r>
              <w:t xml:space="preserve"> приемлемого уровня сейсмической безопасности на территории Чеченской Республики;</w:t>
            </w:r>
          </w:p>
          <w:p w:rsidR="00000000" w:rsidRDefault="00CC7B8D">
            <w:pPr>
              <w:pStyle w:val="afff"/>
            </w:pPr>
            <w:r>
              <w:t>уменьшение возможного экономического и экологического ущерба от сейсмических воздействий;</w:t>
            </w:r>
          </w:p>
          <w:p w:rsidR="00000000" w:rsidRDefault="00CC7B8D">
            <w:pPr>
              <w:pStyle w:val="afff"/>
            </w:pPr>
            <w:r>
              <w:t>повышение сейсмической безопасности объектов жилого и общественного назначения с мас</w:t>
            </w:r>
            <w:r>
              <w:t>совым пребыванием людей, снижение социального, экономического, экологического риска в сейсмически опасных районах Чеченской Республики;</w:t>
            </w:r>
          </w:p>
          <w:p w:rsidR="00000000" w:rsidRDefault="00CC7B8D">
            <w:pPr>
              <w:pStyle w:val="afff"/>
            </w:pPr>
            <w:r>
              <w:t>снижение ущербов от разрушительных землетрясений путем усиления и реконструкции существующих сооружений;</w:t>
            </w:r>
          </w:p>
          <w:p w:rsidR="00000000" w:rsidRDefault="00CC7B8D">
            <w:pPr>
              <w:pStyle w:val="afff"/>
            </w:pPr>
            <w:r>
              <w:t>подготовка горо</w:t>
            </w:r>
            <w:r>
              <w:t>дов и других населенных пунктов, транспортных и энергетических сооружений, трубопроводов к сильным землетрясениям.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</w:pPr>
            <w:r>
              <w:t>Задачи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</w:pPr>
            <w:r>
              <w:t>-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f"/>
            </w:pPr>
            <w:r>
              <w:t xml:space="preserve">Реализация подготовительных организационных </w:t>
            </w:r>
            <w:r>
              <w:lastRenderedPageBreak/>
              <w:t>мероприятий и совершенствование нормативно-п</w:t>
            </w:r>
            <w:r>
              <w:t>равовой базы для обеспечения скоординированного подхода к выполнению работ по сейсмоусилению объектов, имеющих дефицит сейсмостойкости;</w:t>
            </w:r>
          </w:p>
          <w:p w:rsidR="00000000" w:rsidRDefault="00CC7B8D">
            <w:pPr>
              <w:pStyle w:val="afff"/>
            </w:pPr>
            <w:r>
              <w:t>сейсмоусиление существующих жилых домов, основных объектов и систем жизнеобеспечения;</w:t>
            </w:r>
          </w:p>
          <w:p w:rsidR="00000000" w:rsidRDefault="00CC7B8D">
            <w:pPr>
              <w:pStyle w:val="afff"/>
            </w:pPr>
            <w:r>
              <w:t xml:space="preserve">строительство новых сейсмостойких </w:t>
            </w:r>
            <w:r>
              <w:t>объектов взамен тех объектов, сейсмоусиление или реконструкция которых экономически нецелесообразны, включая использование современных технологий и строительных материалов, применяемых в малоэтажном строительстве;</w:t>
            </w:r>
          </w:p>
          <w:p w:rsidR="00000000" w:rsidRDefault="00CC7B8D">
            <w:pPr>
              <w:pStyle w:val="afff"/>
            </w:pPr>
            <w:r>
              <w:t>создание условий и эффективных механизмов,</w:t>
            </w:r>
            <w:r>
              <w:t xml:space="preserve"> обеспечивающих необходимый уровень сейсмической безопасности при строительстве на сейсмоопасной территории;</w:t>
            </w:r>
          </w:p>
          <w:p w:rsidR="00000000" w:rsidRDefault="00CC7B8D">
            <w:pPr>
              <w:pStyle w:val="afff"/>
            </w:pPr>
            <w:r>
              <w:t>осуществление мероприятий по сейсмоусилению наиболее важных сооружений и разработка необходимых градостроительных мероприятий с целью максимального</w:t>
            </w:r>
            <w:r>
              <w:t xml:space="preserve"> снижения сейсмического риска, начиная с наиболее сейсмически опасных районов;</w:t>
            </w:r>
          </w:p>
          <w:p w:rsidR="00000000" w:rsidRDefault="00CC7B8D">
            <w:pPr>
              <w:pStyle w:val="afff"/>
            </w:pPr>
            <w:r>
              <w:t>проведение обследования и паспортизации зданий и сооружений в сейсмоопасных районах;</w:t>
            </w:r>
          </w:p>
          <w:p w:rsidR="00000000" w:rsidRDefault="00CC7B8D">
            <w:pPr>
              <w:pStyle w:val="afff"/>
            </w:pPr>
            <w:r>
              <w:t>формирование методической и нормативной базы для обеспечения сейсмической надежности строящи</w:t>
            </w:r>
            <w:r>
              <w:t>хся и эксплуатируемых жилых, общественных, промышленных зданий, энергетических и транспортных сооружений;</w:t>
            </w:r>
          </w:p>
          <w:p w:rsidR="00000000" w:rsidRDefault="00CC7B8D">
            <w:pPr>
              <w:pStyle w:val="afff"/>
            </w:pPr>
            <w:r>
              <w:t>внедрение инновационных технологий сейсмоизоляции и других новых систем сейсмозащиты здании и сооружений, их оснований и фундаментов;</w:t>
            </w:r>
          </w:p>
          <w:p w:rsidR="00000000" w:rsidRDefault="00CC7B8D">
            <w:pPr>
              <w:pStyle w:val="afff"/>
            </w:pPr>
            <w:r>
              <w:t>создание лаборат</w:t>
            </w:r>
            <w:r>
              <w:t>орной базы для исследования новых эффективных систем сейсмической защиты сооружений, мониторинга зданий и сооружений при их эксплуатации во время сильных землетрясений;</w:t>
            </w:r>
          </w:p>
          <w:p w:rsidR="00000000" w:rsidRDefault="00CC7B8D">
            <w:pPr>
              <w:pStyle w:val="afff"/>
            </w:pPr>
            <w:r>
              <w:t>развитие системы информационного обеспечения управления сейсмическим риском и деятельно</w:t>
            </w:r>
            <w:r>
              <w:t>сти по смягчению последствий сильных землетрясений;</w:t>
            </w:r>
          </w:p>
          <w:p w:rsidR="00000000" w:rsidRDefault="00CC7B8D">
            <w:pPr>
              <w:pStyle w:val="afff"/>
            </w:pPr>
            <w:r>
              <w:t>совершенствование системы подготовки специалистов по управлению сейсмическим риском и системы подготовки населения и городов к сейсмическим бедствиям;</w:t>
            </w:r>
          </w:p>
          <w:p w:rsidR="00000000" w:rsidRDefault="00CC7B8D">
            <w:pPr>
              <w:pStyle w:val="afff"/>
            </w:pPr>
            <w:r>
              <w:t xml:space="preserve">сейсмическое микрорайонирование территории Чеченской </w:t>
            </w:r>
            <w:r>
              <w:t xml:space="preserve">Республики и уточнение ранее </w:t>
            </w:r>
            <w:r>
              <w:lastRenderedPageBreak/>
              <w:t>составленных прогноз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</w:pPr>
            <w:bookmarkStart w:id="14" w:name="sub_1009"/>
            <w:r>
              <w:lastRenderedPageBreak/>
              <w:t>Целевые индикаторы и показатели Программы</w:t>
            </w:r>
            <w:bookmarkEnd w:id="14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</w:pPr>
            <w:r>
              <w:t>-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f"/>
            </w:pPr>
            <w:r>
              <w:t>Размер предотвращенного ущерба от возможного разрушения жилых домов, основных объектов и систем жизнеобеспечения в результате землетрясений;</w:t>
            </w:r>
          </w:p>
          <w:p w:rsidR="00000000" w:rsidRDefault="00CC7B8D">
            <w:pPr>
              <w:pStyle w:val="afff"/>
            </w:pPr>
            <w:r>
              <w:t>снижение уровня риска возникновения чрезвычайных ситуаций вследствие разрушительных землетрясений;</w:t>
            </w:r>
          </w:p>
          <w:p w:rsidR="00000000" w:rsidRDefault="00CC7B8D">
            <w:pPr>
              <w:pStyle w:val="afff"/>
            </w:pPr>
            <w:r>
              <w:t>общая площадь зданий и сооружений, по которым ликвидирован дефицит сейсмостойкости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</w:pPr>
            <w:bookmarkStart w:id="15" w:name="sub_1010"/>
            <w:r>
              <w:t>Сроки и этапы реализации Программы</w:t>
            </w:r>
            <w:bookmarkEnd w:id="15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</w:pPr>
            <w:r>
              <w:t>-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f"/>
            </w:pPr>
            <w:r>
              <w:t>2009-2018 годы:</w:t>
            </w:r>
          </w:p>
          <w:p w:rsidR="00000000" w:rsidRDefault="00CC7B8D">
            <w:pPr>
              <w:pStyle w:val="afff"/>
            </w:pPr>
            <w:r>
              <w:t>I эт</w:t>
            </w:r>
            <w:r>
              <w:t>ап - 2009 - 2012 годы;</w:t>
            </w:r>
          </w:p>
          <w:p w:rsidR="00000000" w:rsidRDefault="00CC7B8D">
            <w:pPr>
              <w:pStyle w:val="afff"/>
            </w:pPr>
            <w:r>
              <w:t>II этап - 2013 - 2015 годы;</w:t>
            </w:r>
          </w:p>
          <w:p w:rsidR="00000000" w:rsidRDefault="00CC7B8D">
            <w:pPr>
              <w:pStyle w:val="afff"/>
            </w:pPr>
            <w:r>
              <w:t>III этап - 2016-2018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</w:pPr>
            <w:bookmarkStart w:id="16" w:name="sub_108"/>
            <w:r>
              <w:t>Объемы и источники финансирования Программы</w:t>
            </w:r>
            <w:bookmarkEnd w:id="16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</w:pPr>
            <w:r>
              <w:t>-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f"/>
            </w:pPr>
            <w:r>
              <w:t>прогнозируемый объем финансирования мероприятий Программы (в ценах соответствующих лет) составляет 395,23 млн. рублей.</w:t>
            </w:r>
          </w:p>
          <w:p w:rsidR="00000000" w:rsidRDefault="00CC7B8D">
            <w:pPr>
              <w:pStyle w:val="afff"/>
            </w:pPr>
            <w:r>
              <w:t>Средства федерального бюджета составляют 295,70 млн. рублей, в том числе по годам:</w:t>
            </w:r>
          </w:p>
          <w:p w:rsidR="00000000" w:rsidRDefault="00CC7B8D">
            <w:pPr>
              <w:pStyle w:val="afff"/>
            </w:pPr>
            <w:r>
              <w:t>2009 г. - 0,00 млн. рублей;</w:t>
            </w:r>
          </w:p>
          <w:p w:rsidR="00000000" w:rsidRDefault="00CC7B8D">
            <w:pPr>
              <w:pStyle w:val="afff"/>
            </w:pPr>
            <w:r>
              <w:t>2010 г. - 0,00 млн. рублей;</w:t>
            </w:r>
          </w:p>
          <w:p w:rsidR="00000000" w:rsidRDefault="00CC7B8D">
            <w:pPr>
              <w:pStyle w:val="afff"/>
            </w:pPr>
            <w:r>
              <w:t>2011 г. - 0,00 млн. рублей;</w:t>
            </w:r>
          </w:p>
          <w:p w:rsidR="00000000" w:rsidRDefault="00CC7B8D">
            <w:pPr>
              <w:pStyle w:val="afff"/>
            </w:pPr>
            <w:r>
              <w:t>2012 г. - 9,18 млн. рублей;</w:t>
            </w:r>
          </w:p>
          <w:p w:rsidR="00000000" w:rsidRDefault="00CC7B8D">
            <w:pPr>
              <w:pStyle w:val="afff"/>
            </w:pPr>
            <w:r>
              <w:t>2013 г. - 110,73 млн. рублей;</w:t>
            </w:r>
          </w:p>
          <w:p w:rsidR="00000000" w:rsidRDefault="00CC7B8D">
            <w:pPr>
              <w:pStyle w:val="afff"/>
            </w:pPr>
            <w:r>
              <w:t>2014 г. - 72,34 млн. рублей;</w:t>
            </w:r>
          </w:p>
          <w:p w:rsidR="00000000" w:rsidRDefault="00CC7B8D">
            <w:pPr>
              <w:pStyle w:val="afff"/>
            </w:pPr>
            <w:r>
              <w:t>2015 г. - 103,45 млн. рублей.</w:t>
            </w:r>
          </w:p>
          <w:p w:rsidR="00000000" w:rsidRDefault="00CC7B8D">
            <w:pPr>
              <w:pStyle w:val="afff"/>
            </w:pPr>
            <w:r>
              <w:t>Средства республиканского бюджета составляют 99,53 млн. рублей, в том числе по годам:</w:t>
            </w:r>
          </w:p>
          <w:p w:rsidR="00000000" w:rsidRDefault="00CC7B8D">
            <w:pPr>
              <w:pStyle w:val="afff"/>
            </w:pPr>
            <w:r>
              <w:t>2009 г. - 0,00 млн. рублей;</w:t>
            </w:r>
          </w:p>
          <w:p w:rsidR="00000000" w:rsidRDefault="00CC7B8D">
            <w:pPr>
              <w:pStyle w:val="afff"/>
            </w:pPr>
            <w:r>
              <w:t>2010 г. - 0,00 млн. рублей;</w:t>
            </w:r>
          </w:p>
          <w:p w:rsidR="00000000" w:rsidRDefault="00CC7B8D">
            <w:pPr>
              <w:pStyle w:val="afff"/>
            </w:pPr>
            <w:r>
              <w:t>2011 г. - 0,00 млн. рублей;</w:t>
            </w:r>
          </w:p>
          <w:p w:rsidR="00000000" w:rsidRDefault="00CC7B8D">
            <w:pPr>
              <w:pStyle w:val="afff"/>
            </w:pPr>
            <w:r>
              <w:t>2012 г. - 4,39 млн. рублей;</w:t>
            </w:r>
          </w:p>
          <w:p w:rsidR="00000000" w:rsidRDefault="00CC7B8D">
            <w:pPr>
              <w:pStyle w:val="afff"/>
            </w:pPr>
            <w:r>
              <w:t>2013 г. - 37,99 млн. рублей;</w:t>
            </w:r>
          </w:p>
          <w:p w:rsidR="00000000" w:rsidRDefault="00CC7B8D">
            <w:pPr>
              <w:pStyle w:val="afff"/>
            </w:pPr>
            <w:r>
              <w:t>2014 г. - 23,50 млн. рублей;</w:t>
            </w:r>
          </w:p>
          <w:p w:rsidR="00000000" w:rsidRDefault="00CC7B8D">
            <w:pPr>
              <w:pStyle w:val="afff"/>
            </w:pPr>
            <w:r>
              <w:t>2015 г. - 33,65 млн. рублей.</w:t>
            </w:r>
          </w:p>
          <w:p w:rsidR="00000000" w:rsidRDefault="00CC7B8D">
            <w:pPr>
              <w:pStyle w:val="afff"/>
            </w:pPr>
            <w:r>
              <w:t>Средства внебюджетных источников составляют 0,0 млн.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</w:pPr>
            <w:bookmarkStart w:id="17" w:name="sub_1012"/>
            <w:r>
              <w:t>Ожидаемые конечные результаты реализации Программы и показатели ее социально-экономической эффективности</w:t>
            </w:r>
            <w:bookmarkEnd w:id="17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</w:pPr>
            <w:r>
              <w:t>-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f"/>
            </w:pPr>
            <w:r>
              <w:t>Размер предотвращенного ущерба от возможного разрушения жилых домов, основных объектов и систем жизнеобеспечения в результате землетрясений составит 3,95 млрд. рублей;</w:t>
            </w:r>
          </w:p>
          <w:p w:rsidR="00000000" w:rsidRDefault="00CC7B8D">
            <w:pPr>
              <w:pStyle w:val="afff"/>
            </w:pPr>
            <w:r>
              <w:t>снижение уровня риска возникновения чрезвычайных ситуаций вследствие разрушительных земл</w:t>
            </w:r>
            <w:r>
              <w:t>етрясений составит 100 процентов;</w:t>
            </w:r>
          </w:p>
          <w:p w:rsidR="00000000" w:rsidRDefault="00CC7B8D">
            <w:pPr>
              <w:pStyle w:val="afff"/>
            </w:pPr>
            <w:r>
              <w:t>общая площадь зданий и сооружений, по которым ликвидирован дефицит сейсмостойкости, составит 19,12 тыс. кв. м.</w:t>
            </w:r>
          </w:p>
        </w:tc>
      </w:tr>
    </w:tbl>
    <w:p w:rsidR="00000000" w:rsidRDefault="00CC7B8D"/>
    <w:p w:rsidR="00000000" w:rsidRDefault="00CC7B8D">
      <w:pPr>
        <w:pStyle w:val="1"/>
      </w:pPr>
      <w:bookmarkStart w:id="18" w:name="sub_200"/>
      <w:r>
        <w:lastRenderedPageBreak/>
        <w:t>Введение</w:t>
      </w:r>
    </w:p>
    <w:bookmarkEnd w:id="18"/>
    <w:p w:rsidR="00000000" w:rsidRDefault="00CC7B8D"/>
    <w:p w:rsidR="00000000" w:rsidRDefault="00CC7B8D">
      <w:r>
        <w:t>Республиканская целевая программа "Повышение устойчивости жилых домов, основных объек</w:t>
      </w:r>
      <w:r>
        <w:t>тов и систем жизнеобеспечения на территории Чеченской Республики на 2009-2018 годы" (далее - Программа) разработана в соответствии с распоряжением Правительства Чеченской Республики от 10 октября 2008 года N 490-р.</w:t>
      </w:r>
    </w:p>
    <w:p w:rsidR="00000000" w:rsidRDefault="00CC7B8D">
      <w:r>
        <w:t>Целями Программы являются повышение сейсм</w:t>
      </w:r>
      <w:r>
        <w:t>ической безопасности населения, снижение сейсмического и экологического риска в сейсмически опасных районах Чеченской Республики, снижение ущерба от разрушительных землетрясений.</w:t>
      </w:r>
    </w:p>
    <w:p w:rsidR="00000000" w:rsidRDefault="00CC7B8D">
      <w:r>
        <w:t>Приоритетными направлениями реализации программных мероприятий являются:</w:t>
      </w:r>
    </w:p>
    <w:p w:rsidR="00000000" w:rsidRDefault="00CC7B8D">
      <w:r>
        <w:t>- об</w:t>
      </w:r>
      <w:r>
        <w:t>еспечение сейсмостойкости объектов жилого и общественного назначения с массовым пребыванием людей;</w:t>
      </w:r>
    </w:p>
    <w:p w:rsidR="00000000" w:rsidRDefault="00CC7B8D">
      <w:r>
        <w:t>- формирование правовой основы обеспечения сейсмической безопасности населения;</w:t>
      </w:r>
    </w:p>
    <w:p w:rsidR="00000000" w:rsidRDefault="00CC7B8D">
      <w:r>
        <w:t xml:space="preserve">- внедрение в практику современных методов и технических средств обеспечения </w:t>
      </w:r>
      <w:r>
        <w:t>сейсмостойкости зданий и сооружений;</w:t>
      </w:r>
    </w:p>
    <w:p w:rsidR="00000000" w:rsidRDefault="00CC7B8D">
      <w:r>
        <w:t>- совершенствование методов и технологий обеспечения сейсмостойкости возводимых и эксплуатируемых зданий и сооружений.</w:t>
      </w:r>
    </w:p>
    <w:p w:rsidR="00000000" w:rsidRDefault="00CC7B8D">
      <w:r>
        <w:t xml:space="preserve">По </w:t>
      </w:r>
      <w:hyperlink r:id="rId16" w:history="1">
        <w:r>
          <w:rPr>
            <w:rStyle w:val="a4"/>
          </w:rPr>
          <w:t>карте</w:t>
        </w:r>
      </w:hyperlink>
      <w:r>
        <w:t xml:space="preserve"> общего сейсмического районирования территории Российс</w:t>
      </w:r>
      <w:r>
        <w:t>кой Федерации ОСР-97 г. Грозный отнесен к 8-бальной зоне по карте "А" и 9-бальной зоне по карте "В".</w:t>
      </w:r>
    </w:p>
    <w:p w:rsidR="00000000" w:rsidRDefault="00CC7B8D">
      <w:r>
        <w:t>В действительности, в зависимости от грунтовых условий для отдельных площадок расчетная сейсмичность может быть выше или ниже общей фоновой сейсмичности те</w:t>
      </w:r>
      <w:r>
        <w:t>рритории. Для уточнения этих изменений проводится сейсмическое микрорайонирование. Целью сейсмического микрорайонирования является количественная оценка влияния местных условий (состав грунтов, особенности рельефа, наличие тектонических разломов и т.д.) на</w:t>
      </w:r>
      <w:r>
        <w:t xml:space="preserve"> сейсмичность, с определением интенсивности воздействий от землетрясений в баллах. В комплекс работ входят инженерно-геологические, гидрогеологические инструментальные исследования, теоретические расчеты и специальные работы по определению фактической сейс</w:t>
      </w:r>
      <w:r>
        <w:t>мичности территории республики.</w:t>
      </w:r>
    </w:p>
    <w:p w:rsidR="00000000" w:rsidRDefault="00CC7B8D">
      <w:r>
        <w:t xml:space="preserve">Ранее в 1975, 1985, 1995-1996 годах сейсмическое микрорайонирование в Чеченской Республике проводилось на отдельных участках. Материалы этих исследований частично вошли в </w:t>
      </w:r>
      <w:hyperlink r:id="rId17" w:history="1">
        <w:r>
          <w:rPr>
            <w:rStyle w:val="a4"/>
          </w:rPr>
          <w:t>СНиП II-7-81*</w:t>
        </w:r>
      </w:hyperlink>
      <w:r>
        <w:t xml:space="preserve"> "Стр</w:t>
      </w:r>
      <w:r>
        <w:t xml:space="preserve">оительство в сейсмических районах" и отображены на </w:t>
      </w:r>
      <w:hyperlink r:id="rId18" w:history="1">
        <w:r>
          <w:rPr>
            <w:rStyle w:val="a4"/>
          </w:rPr>
          <w:t>карте</w:t>
        </w:r>
      </w:hyperlink>
      <w:r>
        <w:t xml:space="preserve"> ОСР-97, однако официально утвержденной карты сейсмического микрорайонирования территории ЧР нет.</w:t>
      </w:r>
    </w:p>
    <w:p w:rsidR="00000000" w:rsidRDefault="00CC7B8D"/>
    <w:p w:rsidR="00000000" w:rsidRDefault="00CC7B8D">
      <w:pPr>
        <w:pStyle w:val="1"/>
      </w:pPr>
      <w:bookmarkStart w:id="19" w:name="sub_1100"/>
      <w:r>
        <w:t>I. </w:t>
      </w:r>
      <w:r>
        <w:t>Содержание проблемы и обоснование необходимости ее решения программными методами</w:t>
      </w:r>
    </w:p>
    <w:bookmarkEnd w:id="19"/>
    <w:p w:rsidR="00000000" w:rsidRDefault="00CC7B8D"/>
    <w:p w:rsidR="00000000" w:rsidRDefault="00CC7B8D">
      <w:r>
        <w:t>Необходимость разработки и реализации Программы определяется следующими факторами:</w:t>
      </w:r>
    </w:p>
    <w:p w:rsidR="00000000" w:rsidRDefault="00CC7B8D">
      <w:r>
        <w:t>- территория Чеченской Республики подвержена влиянию землетрясений, вызывающих ката</w:t>
      </w:r>
      <w:r>
        <w:t>строфический или серьезный ущерб, где сильные землетрясения, как правило, вызывали не только миллиардные ущербы, ранения и гибель людей, но и социальные потрясения;</w:t>
      </w:r>
    </w:p>
    <w:p w:rsidR="00000000" w:rsidRDefault="00CC7B8D">
      <w:r>
        <w:t>- особенностью территории Чеченской Республики является горный рельеф местности и просадочн</w:t>
      </w:r>
      <w:r>
        <w:t>ость грунтов;</w:t>
      </w:r>
    </w:p>
    <w:p w:rsidR="00000000" w:rsidRDefault="00CC7B8D">
      <w:r>
        <w:lastRenderedPageBreak/>
        <w:t>- катастрофические землетрясения ведут к нищете, болезням, безработице, ставят под угрозу социальные программы, реализуемые в республике;</w:t>
      </w:r>
    </w:p>
    <w:p w:rsidR="00000000" w:rsidRDefault="00CC7B8D">
      <w:r>
        <w:t>- на сейсмоопасной территории Чеченской Республики проходят многие важные коммуникации Российской Федера</w:t>
      </w:r>
      <w:r>
        <w:t>ции (транспорт, газовые и нефтяные магистрали), находятся другие ответственные объекты Министерства обороны Российской Федерации, разрушение которых может привести к экологической катастрофе и гибели людей;</w:t>
      </w:r>
    </w:p>
    <w:p w:rsidR="00000000" w:rsidRDefault="00CC7B8D">
      <w:r>
        <w:t>- за все годы истории СССР и Российской Федерации</w:t>
      </w:r>
      <w:r>
        <w:t xml:space="preserve"> в Чеченской Республике не были реализованы общегосударственные программы по сейсмической безопасности, в результате чего сотни тысяч человек на сейсмоопасных территориях живут и работают в зданиях, характеризующихся дефицитом сейсмостойкости в 2-3 балла; </w:t>
      </w:r>
      <w:r>
        <w:t>в республике нет системы страхования от последствий землетрясений;</w:t>
      </w:r>
    </w:p>
    <w:p w:rsidR="00000000" w:rsidRDefault="00CC7B8D">
      <w:r>
        <w:t>- в результате военных действий с 1994 г., согласно аналитической справке Комплексного научно-исследовательского института Российской Академии наук, практически весь сохранившийся фонд жилы</w:t>
      </w:r>
      <w:r>
        <w:t>х, промышленных, гражданских и других зданий и сооружений подвержен физическому, моральному износу и не соответствует нормам сейсмической надежности, а восстановление зданий и сооружений ведется в основном без сейсмоусиления.</w:t>
      </w:r>
    </w:p>
    <w:p w:rsidR="00000000" w:rsidRDefault="00CC7B8D">
      <w:r>
        <w:t>Вместе с тем существенное увел</w:t>
      </w:r>
      <w:r>
        <w:t>ичение площадей территорий повышенной сейсмической опасности по сравнению с прежними представлениями, принципиально новый дифференцированный подход к оценке сейсмической опасности, а также сохраняющаяся неопределенность из-за недостатка сейсмологических св</w:t>
      </w:r>
      <w:r>
        <w:t>едений становятся весомыми аргументами необходимости проведения работ по уточнению сейсмичности, детальному объектному и сейсмическому микрорайонированию с целью использования полученных данных для проведения мероприятий по повышению сейсмической безопасно</w:t>
      </w:r>
      <w:r>
        <w:t>сти и защиты объектов различного назначения на территории Чеченской Республики.</w:t>
      </w:r>
    </w:p>
    <w:p w:rsidR="00000000" w:rsidRDefault="00CC7B8D">
      <w:r>
        <w:t>Детальное сейсмическое районирование имеет своей задачей выявление или уточнение сейсмогенерирующих зон, сейсмические события в которых представляют опасность для конкретных об</w:t>
      </w:r>
      <w:r>
        <w:t>ъектов (городов, населенных пунктов, крупных промышленных и энергетических объектов и т.д.). Такие карты для крупных территорий разрабатываются редко, поскольку эти работы в полном объеме требуют больших затрат и длительного времени. Значительно чаще выпол</w:t>
      </w:r>
      <w:r>
        <w:t>няется детальное сейсмическое районирование или уточнение исходной сейсмичности для конкретных объектов. В настоящее время эти важные виды работ по оценке сейсмической опасности имеют слабую нормативно-методическую базу.</w:t>
      </w:r>
    </w:p>
    <w:p w:rsidR="00000000" w:rsidRDefault="00CC7B8D">
      <w:r>
        <w:t>Сейсмическое микрорайонирование поз</w:t>
      </w:r>
      <w:r>
        <w:t>воляет учесть влияние разнообразных местных грунтово-геологических условий на прогнозируемые сейсмические воздействия. Карты сейсмического микрорайонирования служат основой для оценки сейсмической опасности строительной площадки и должны содержать всю необ</w:t>
      </w:r>
      <w:r>
        <w:t>ходимую информацию для проектирования эффективной сейсмозащиты зданий и сооружений. Существующая нормативно-методическая и техническая база сейсмического микрорайонирования в настоящее время существенно устарела и нуждается в значительном обновлении.</w:t>
      </w:r>
    </w:p>
    <w:p w:rsidR="00000000" w:rsidRDefault="00CC7B8D">
      <w:r>
        <w:t>Поско</w:t>
      </w:r>
      <w:r>
        <w:t>льку значительная часть территории Чеченской Республики характеризуется высоким или повышенным уровнем сейсмического риска, а развитие опасных геологических процессов природного и природно-техногенного характера усугубляет возможные разрушительные последст</w:t>
      </w:r>
      <w:r>
        <w:t xml:space="preserve">вия землетрясений, необходимость сохранения жизни и здоровья людей, предотвращения или снижения уровня материальных потерь и ущерба окружающей среде определяет комплексную задачу: </w:t>
      </w:r>
      <w:r>
        <w:lastRenderedPageBreak/>
        <w:t>обеспечение сейсмической безопасности населения и устойчивости материально-т</w:t>
      </w:r>
      <w:r>
        <w:t>ехнических объектов в пределах показателей приемлемого риска.</w:t>
      </w:r>
    </w:p>
    <w:p w:rsidR="00000000" w:rsidRDefault="00CC7B8D">
      <w:r>
        <w:t>Высокий уровень сейсмического риска определяется в значительной степени высокой сейсмической уязвимостью, то есть недостаточной сейсмостойкостью части построенных гражданских, промышленных, гидр</w:t>
      </w:r>
      <w:r>
        <w:t>отехнических и других сооружений, а также неготовностью к землетрясениям большинства населенных пунктов.</w:t>
      </w:r>
    </w:p>
    <w:p w:rsidR="00000000" w:rsidRDefault="00CC7B8D">
      <w:bookmarkStart w:id="20" w:name="sub_1028"/>
      <w:r>
        <w:t>Недостаточная надежность сейсмологического прогноза является принципиально неустранимой в ближайшие десятилетия, поскольку природа сейсмической</w:t>
      </w:r>
      <w:r>
        <w:t xml:space="preserve"> деятельности крайне сложна, не до конца понята и недостаточно исследована, несмотря на несомненные и значительные достижения мировой и отечественной сейсмологии. Кроме того, проблема усложняется в связи с производственной деятельностью человека (добыча не</w:t>
      </w:r>
      <w:r>
        <w:t>фти, строительство гидротехнических сооружений).</w:t>
      </w:r>
    </w:p>
    <w:p w:rsidR="00000000" w:rsidRDefault="00CC7B8D">
      <w:bookmarkStart w:id="21" w:name="sub_1029"/>
      <w:bookmarkEnd w:id="20"/>
      <w:r>
        <w:t>Поэтому в будущем можно ожидать не только землетрясений в пределах интенсивности, прогнозируемой картами общего сейсмического районирования, но и землетрясений более высокой интенсивности, пр</w:t>
      </w:r>
      <w:r>
        <w:t>евышающей расчетные сейсмические воздействия на сооружения. Это обстоятельство следует учитывать при разработке и выполнении всех программных мероприятий.</w:t>
      </w:r>
    </w:p>
    <w:p w:rsidR="00000000" w:rsidRDefault="00CC7B8D">
      <w:bookmarkStart w:id="22" w:name="sub_1030"/>
      <w:bookmarkEnd w:id="21"/>
      <w:r>
        <w:t>Таким образом, проблема обеспечения сейсмической безопасности является комплексной, т</w:t>
      </w:r>
      <w:r>
        <w:t>ребующей межведомственных решений и согласований, оценки и прогноза не только прямого, но и косвенного ущерба, реализации большого числа многоуровневых задач в масштабах республики. Основным методом решения указанных задач является программно-целевой метод</w:t>
      </w:r>
      <w:r>
        <w:t>.</w:t>
      </w:r>
    </w:p>
    <w:bookmarkEnd w:id="22"/>
    <w:p w:rsidR="00000000" w:rsidRDefault="00CC7B8D">
      <w:r>
        <w:t xml:space="preserve">Программой предусмотрено формирование правовой и нормативно-технической базы для обеспечения надежности строящихся и эксплуатируемых жилых домов, устойчивого функционирования основных объектов и систем жизнеобеспечения (объекты тепло-, энерго- и </w:t>
      </w:r>
      <w:r>
        <w:t>водоснабжения, водоотведения и т.д.), мест массового пребывания населения.</w:t>
      </w:r>
    </w:p>
    <w:p w:rsidR="00000000" w:rsidRDefault="00CC7B8D"/>
    <w:p w:rsidR="00000000" w:rsidRDefault="00CC7B8D">
      <w:pPr>
        <w:pStyle w:val="1"/>
      </w:pPr>
      <w:bookmarkStart w:id="23" w:name="sub_300"/>
      <w:r>
        <w:t>II. Цели и основные задачи Программы</w:t>
      </w:r>
    </w:p>
    <w:bookmarkEnd w:id="23"/>
    <w:p w:rsidR="00000000" w:rsidRDefault="00CC7B8D"/>
    <w:p w:rsidR="00000000" w:rsidRDefault="00CC7B8D">
      <w:r>
        <w:t>Целями Программы являются максимальное:</w:t>
      </w:r>
    </w:p>
    <w:p w:rsidR="00000000" w:rsidRDefault="00CC7B8D">
      <w:r>
        <w:t xml:space="preserve">1) создание условий для устойчивого функционирования жилищного фонда, основных объектов </w:t>
      </w:r>
      <w:r>
        <w:t>и систем жизнеобеспечения на территории</w:t>
      </w:r>
    </w:p>
    <w:p w:rsidR="00000000" w:rsidRDefault="00CC7B8D">
      <w:r>
        <w:t>2) Чеченской Республики;</w:t>
      </w:r>
    </w:p>
    <w:p w:rsidR="00000000" w:rsidRDefault="00CC7B8D">
      <w:r>
        <w:t>3) достижение приемлемого уровня сейсмической безопасности на территории Чеченской Республики;</w:t>
      </w:r>
    </w:p>
    <w:p w:rsidR="00000000" w:rsidRDefault="00CC7B8D">
      <w:r>
        <w:t>4) уменьшение возможного экономического и экологического ущерба от сейсмических воздействий;</w:t>
      </w:r>
    </w:p>
    <w:p w:rsidR="00000000" w:rsidRDefault="00CC7B8D">
      <w:r>
        <w:t xml:space="preserve">5) </w:t>
      </w:r>
      <w:r>
        <w:t>повышение сейсмической безопасности объектов жилого и общественного назначения с массовым пребыванием людей, снижение социального, экономического, экологического риска в сейсмически опасных районах Чеченской Республики;</w:t>
      </w:r>
    </w:p>
    <w:p w:rsidR="00000000" w:rsidRDefault="00CC7B8D">
      <w:r>
        <w:t>6) снижение ущербов от разрушительны</w:t>
      </w:r>
      <w:r>
        <w:t>х землетрясений путем усиления и реконструкции существующих сооружений;</w:t>
      </w:r>
    </w:p>
    <w:p w:rsidR="00000000" w:rsidRDefault="00CC7B8D">
      <w:r>
        <w:t>7) подготовка городов и других населенных пунктов, транспортных и энергетических сооружений, трубопроводов к сильным землетрясениям.</w:t>
      </w:r>
    </w:p>
    <w:p w:rsidR="00000000" w:rsidRDefault="00CC7B8D">
      <w:bookmarkStart w:id="24" w:name="sub_1016"/>
      <w:r>
        <w:t>Основными задачами Программы являются:</w:t>
      </w:r>
    </w:p>
    <w:p w:rsidR="00000000" w:rsidRDefault="00CC7B8D">
      <w:bookmarkStart w:id="25" w:name="sub_410"/>
      <w:bookmarkEnd w:id="24"/>
      <w:r>
        <w:t xml:space="preserve">1) реализация подготовительных организационных мероприятий и совершенствование нормативно-правовой базы для обеспечения скоординированного подхода к выполнению работ по сейсмоусилению объектов, имеющих дефицит </w:t>
      </w:r>
      <w:r>
        <w:lastRenderedPageBreak/>
        <w:t>сейсмостойкости;</w:t>
      </w:r>
    </w:p>
    <w:bookmarkEnd w:id="25"/>
    <w:p w:rsidR="00000000" w:rsidRDefault="00CC7B8D">
      <w:r>
        <w:t>2) сейс</w:t>
      </w:r>
      <w:r>
        <w:t>моусиление существующих жилых домов, основных объектов и систем жизнеобеспечения; строительство новых сейсмостойких объектов взамен тех объектов, сейсмоусиление или реконструкция которых экономически нецелесообразны, включая использование современных техно</w:t>
      </w:r>
      <w:r>
        <w:t>логий и строительных материалов, применяемых в малоэтажном строительстве;</w:t>
      </w:r>
    </w:p>
    <w:p w:rsidR="00000000" w:rsidRDefault="00CC7B8D">
      <w:r>
        <w:t>3) создание условий и эффективных механизмов, обеспечивающих необходимый уровень сейсмической безопасности при строительстве на сейсмоопасной территории;</w:t>
      </w:r>
    </w:p>
    <w:p w:rsidR="00000000" w:rsidRDefault="00CC7B8D">
      <w:r>
        <w:t>4) осуществление мероприятий</w:t>
      </w:r>
      <w:r>
        <w:t xml:space="preserve"> по сейсмоусилению наиболее важных сооружений и разработка необходимых градостроительных мероприятий с целью максимального снижения сейсмического риска, начиная с наиболее сейсмически опасных районов;</w:t>
      </w:r>
    </w:p>
    <w:p w:rsidR="00000000" w:rsidRDefault="00CC7B8D">
      <w:r>
        <w:t>5) проведение обследования и паспортизации зданий и соо</w:t>
      </w:r>
      <w:r>
        <w:t>ружений в сейсмоопасных районах;</w:t>
      </w:r>
    </w:p>
    <w:p w:rsidR="00000000" w:rsidRDefault="00CC7B8D">
      <w:r>
        <w:t>6) формирование методической и нормативной базы для обеспечения сейсмической надежности строящихся и эксплуатируемых жилых, общественных, промышленных зданий, энергетических и транспортных сооружений;</w:t>
      </w:r>
    </w:p>
    <w:p w:rsidR="00000000" w:rsidRDefault="00CC7B8D">
      <w:r>
        <w:t>7) внедрение инновацио</w:t>
      </w:r>
      <w:r>
        <w:t>нных технологий сейсмоизоляции и других новых систем сейсмозащиты зданий и сооружений, их оснований и фундаментов;</w:t>
      </w:r>
    </w:p>
    <w:p w:rsidR="00000000" w:rsidRDefault="00CC7B8D">
      <w:r>
        <w:t>8) создание лабораторной базы для исследования новых эффективных систем сейсмической защиты сооружений, мониторинга зданий и сооружений при и</w:t>
      </w:r>
      <w:r>
        <w:t>х эксплуатации во время сильных землетрясений;</w:t>
      </w:r>
    </w:p>
    <w:p w:rsidR="00000000" w:rsidRDefault="00CC7B8D">
      <w:r>
        <w:t>9) развитие системы информационного обеспечения управления сейсмическим риском и деятельности по смягчению последствий сильных землетрясений;</w:t>
      </w:r>
    </w:p>
    <w:p w:rsidR="00000000" w:rsidRDefault="00CC7B8D">
      <w:r>
        <w:t>10) совершенствование системы подготовки специалистов по управлению</w:t>
      </w:r>
      <w:r>
        <w:t xml:space="preserve"> сейсмическим риском и системы подготовки населения и городов к сейсмическим бедствиям;</w:t>
      </w:r>
    </w:p>
    <w:p w:rsidR="00000000" w:rsidRDefault="00CC7B8D">
      <w:r>
        <w:t>11) сейсмическое микрорайонирование территории Чеченской Республики и уточнение ранее составленных прогнозов.</w:t>
      </w:r>
    </w:p>
    <w:p w:rsidR="00000000" w:rsidRDefault="00CC7B8D"/>
    <w:p w:rsidR="00000000" w:rsidRDefault="00CC7B8D">
      <w:pPr>
        <w:pStyle w:val="1"/>
      </w:pPr>
      <w:bookmarkStart w:id="26" w:name="sub_400"/>
      <w:r>
        <w:t>III. Система программных мероприятий</w:t>
      </w:r>
    </w:p>
    <w:bookmarkEnd w:id="26"/>
    <w:p w:rsidR="00000000" w:rsidRDefault="00CC7B8D"/>
    <w:p w:rsidR="00000000" w:rsidRDefault="00CC7B8D">
      <w:pPr>
        <w:pStyle w:val="1"/>
      </w:pPr>
      <w:bookmarkStart w:id="27" w:name="sub_401"/>
      <w:r>
        <w:t>1. Обеспечение усиления объектов в наиболее сейсмоопасных</w:t>
      </w:r>
    </w:p>
    <w:bookmarkEnd w:id="27"/>
    <w:p w:rsidR="00000000" w:rsidRDefault="00CC7B8D"/>
    <w:p w:rsidR="00000000" w:rsidRDefault="00CC7B8D">
      <w:r>
        <w:t xml:space="preserve">В рамках Программы будет осуществлен комплекс взаимосвязанных и скоординированных мероприятий по снижению сейсмического риска и повышению безопасности населения посредством сейсмоусиления </w:t>
      </w:r>
      <w:r>
        <w:t>существующих объектов, находящихся в государственной или муниципальной собственности, и (или) строительства новых сейсмостойких объектов взамен объектов, сейсмоусиление или реконструкция которых экономически нецелесообразны.</w:t>
      </w:r>
    </w:p>
    <w:p w:rsidR="00000000" w:rsidRDefault="00CC7B8D">
      <w:r>
        <w:t>Перечень программных мероприяти</w:t>
      </w:r>
      <w:r>
        <w:t xml:space="preserve">й Программы приведен в </w:t>
      </w:r>
      <w:hyperlink w:anchor="sub_1300" w:history="1">
        <w:r>
          <w:rPr>
            <w:rStyle w:val="a4"/>
          </w:rPr>
          <w:t>приложении 3</w:t>
        </w:r>
      </w:hyperlink>
      <w:r>
        <w:t xml:space="preserve"> к Программе.</w:t>
      </w:r>
    </w:p>
    <w:p w:rsidR="00000000" w:rsidRDefault="00CC7B8D"/>
    <w:p w:rsidR="00000000" w:rsidRDefault="00CC7B8D">
      <w:pPr>
        <w:pStyle w:val="1"/>
      </w:pPr>
      <w:bookmarkStart w:id="28" w:name="sub_402"/>
      <w:r>
        <w:t>2. Проведение комплекса научно-исследовательских работ, направленных на создание научно-методической базы</w:t>
      </w:r>
    </w:p>
    <w:bookmarkEnd w:id="28"/>
    <w:p w:rsidR="00000000" w:rsidRDefault="00CC7B8D"/>
    <w:p w:rsidR="00000000" w:rsidRDefault="00CC7B8D">
      <w:bookmarkStart w:id="29" w:name="sub_1017"/>
      <w:r>
        <w:t>Создание научно-методической базы и системы нормати</w:t>
      </w:r>
      <w:r>
        <w:t xml:space="preserve">вных документов по оценке сейсмической опасности районов и нормированию сейсмических воздействий </w:t>
      </w:r>
      <w:r>
        <w:lastRenderedPageBreak/>
        <w:t>включает в себя:</w:t>
      </w:r>
    </w:p>
    <w:bookmarkEnd w:id="29"/>
    <w:p w:rsidR="00000000" w:rsidRDefault="00CC7B8D">
      <w:r>
        <w:t>- уточнение исходной информации по сейсмостойкости ответственных гражданских, промышленных, энергетических и транспортных объектов;</w:t>
      </w:r>
    </w:p>
    <w:p w:rsidR="00000000" w:rsidRDefault="00CC7B8D">
      <w:r>
        <w:t xml:space="preserve">- </w:t>
      </w:r>
      <w:r>
        <w:t>разработку карт сейсмического микрорайонирования для городов и районов размещения крупных промышленных, энергетических и транспортных объектов.</w:t>
      </w:r>
    </w:p>
    <w:p w:rsidR="00000000" w:rsidRDefault="00CC7B8D">
      <w:r>
        <w:t>Предполагается осуществить:</w:t>
      </w:r>
    </w:p>
    <w:p w:rsidR="00000000" w:rsidRDefault="00CC7B8D">
      <w:r>
        <w:t>- разработку нормативных документов по проектированию новых объектов, усилению и рек</w:t>
      </w:r>
      <w:r>
        <w:t>онструкции существующих зданий и сооружений;</w:t>
      </w:r>
    </w:p>
    <w:p w:rsidR="00000000" w:rsidRDefault="00CC7B8D">
      <w:r>
        <w:t>- внедрение эффективных систем сейсмозащиты гражданских и промышленных зданий и сооружений, инновационных технологий, системы сейсмоизоляции для снижения сейсмического риска;</w:t>
      </w:r>
    </w:p>
    <w:p w:rsidR="00000000" w:rsidRDefault="00CC7B8D">
      <w:r>
        <w:t>- внедрение эффективных методов усиления и восстановления существующих зданий и сооружений;</w:t>
      </w:r>
    </w:p>
    <w:p w:rsidR="00000000" w:rsidRDefault="00CC7B8D">
      <w:r>
        <w:t>- создание лабораторной базы для исследования сейсмостойкости зданий и иных сооружений, в том числе зданий из местных строительных материалов;</w:t>
      </w:r>
    </w:p>
    <w:p w:rsidR="00000000" w:rsidRDefault="00CC7B8D">
      <w:r>
        <w:t>- разработку и внедре</w:t>
      </w:r>
      <w:r>
        <w:t>ние новых высокосейсмостойких, энергосберегающих конструкций гражданских и промышленных зданий с применением местных строительных материалов;</w:t>
      </w:r>
    </w:p>
    <w:p w:rsidR="00000000" w:rsidRDefault="00CC7B8D">
      <w:r>
        <w:t>- разработку новых конструкций и нормативных документов по сейсмостойким фундаментам и основаниям, по транспортным</w:t>
      </w:r>
      <w:r>
        <w:t xml:space="preserve"> сооружениям (аэропорты, мосты, дороги, трубопроводы), усилению и реконструкции эксплуатируемых транспортных сооружений, по энергетическим сооружениям (тепловые станции, трансформаторные подстанции, сети), по инженерным сетям на территории Чеченской Респуб</w:t>
      </w:r>
      <w:r>
        <w:t>лики;</w:t>
      </w:r>
    </w:p>
    <w:p w:rsidR="00000000" w:rsidRDefault="00CC7B8D">
      <w:r>
        <w:t>- разработку и реализацию системы сейсмометрического мониторинга для оперативной оценки состояния сооружений при землетрясении и для уточнения методов расчета сооружений, в том числе путем установки на зданиях и сооружениях инженерно-сейсмометрически</w:t>
      </w:r>
      <w:r>
        <w:t>х станций, включающихся в автоматическом режиме при землетрясении;</w:t>
      </w:r>
    </w:p>
    <w:p w:rsidR="00000000" w:rsidRDefault="00CC7B8D">
      <w:r>
        <w:t>- паспортизацию существующих зданий и сооружений;</w:t>
      </w:r>
    </w:p>
    <w:p w:rsidR="00000000" w:rsidRDefault="00CC7B8D">
      <w:r>
        <w:t>- научно-техническое сопровождение работ по усилению существующих зданий и сооружений.</w:t>
      </w:r>
    </w:p>
    <w:p w:rsidR="00000000" w:rsidRDefault="00CC7B8D">
      <w:r>
        <w:t>Проведение работ по повышению сейсмической безопасно</w:t>
      </w:r>
      <w:r>
        <w:t>сти городов и других населенных пунктов включает в себя:</w:t>
      </w:r>
    </w:p>
    <w:p w:rsidR="00000000" w:rsidRDefault="00CC7B8D">
      <w:r>
        <w:t>- разработку и совершенствование методов оценки и прогноза сейсмического риска, включая прямой и косвенные риски, и технологий их снижения;</w:t>
      </w:r>
    </w:p>
    <w:p w:rsidR="00000000" w:rsidRDefault="00CC7B8D">
      <w:r>
        <w:t>- разработку нормативных документов по подготовке населенны</w:t>
      </w:r>
      <w:r>
        <w:t>х пунктов к землетрясениям, по снижению сейсмической уязвимости территории ЧР;</w:t>
      </w:r>
    </w:p>
    <w:p w:rsidR="00000000" w:rsidRDefault="00CC7B8D">
      <w:r>
        <w:t>- разработку сценариев землетрясений с учетом последних сейсмических катастроф;</w:t>
      </w:r>
    </w:p>
    <w:p w:rsidR="00000000" w:rsidRDefault="00CC7B8D">
      <w:r>
        <w:t xml:space="preserve">- разработку и реализацию программ снижения сейсмической уязвимости населенных пунктов, снижения </w:t>
      </w:r>
      <w:r>
        <w:t>сейсмического, а также экономического, социального и экологического риска.</w:t>
      </w:r>
    </w:p>
    <w:p w:rsidR="00000000" w:rsidRDefault="00CC7B8D">
      <w:r>
        <w:t>Совершенствование нормативной правовой и информационной базы с целью обеспечения сейсмической безопасности предполагает:</w:t>
      </w:r>
    </w:p>
    <w:p w:rsidR="00000000" w:rsidRDefault="00CC7B8D">
      <w:r>
        <w:t>- формирование и совершенствование законодательной базы;</w:t>
      </w:r>
    </w:p>
    <w:p w:rsidR="00000000" w:rsidRDefault="00CC7B8D">
      <w:r>
        <w:t>- р</w:t>
      </w:r>
      <w:r>
        <w:t>азработку нормативных правовых документов по страховой деятельности.</w:t>
      </w:r>
    </w:p>
    <w:p w:rsidR="00000000" w:rsidRDefault="00CC7B8D"/>
    <w:p w:rsidR="00000000" w:rsidRDefault="00CC7B8D">
      <w:pPr>
        <w:pStyle w:val="1"/>
      </w:pPr>
      <w:bookmarkStart w:id="30" w:name="sub_500"/>
      <w:r>
        <w:t>IV. Ресурсное обеспечение Программы</w:t>
      </w:r>
    </w:p>
    <w:bookmarkEnd w:id="30"/>
    <w:p w:rsidR="00000000" w:rsidRDefault="00CC7B8D"/>
    <w:p w:rsidR="00000000" w:rsidRDefault="00CC7B8D">
      <w:r>
        <w:lastRenderedPageBreak/>
        <w:t>Реализация Программы осуществляется за счет средств федерального и республиканского бюджетов.</w:t>
      </w:r>
    </w:p>
    <w:p w:rsidR="00000000" w:rsidRDefault="00CC7B8D">
      <w:bookmarkStart w:id="31" w:name="sub_1018"/>
      <w:r>
        <w:t>За счет средств, выделяемых на ре</w:t>
      </w:r>
      <w:r>
        <w:t>ализацию Программы, планируется финансировать:</w:t>
      </w:r>
    </w:p>
    <w:bookmarkEnd w:id="31"/>
    <w:p w:rsidR="00000000" w:rsidRDefault="00CC7B8D">
      <w:r>
        <w:t>- осуществление мероприятий по усилению сейсмически уязвимых зданий и сооружений;</w:t>
      </w:r>
    </w:p>
    <w:p w:rsidR="00000000" w:rsidRDefault="00CC7B8D">
      <w:r>
        <w:t>- разработку и реализацию мер по снижению сейсмического риска;</w:t>
      </w:r>
    </w:p>
    <w:p w:rsidR="00000000" w:rsidRDefault="00CC7B8D">
      <w:r>
        <w:t>- проведение комплекса научно-исследовательских и опытно</w:t>
      </w:r>
      <w:r>
        <w:t>-конструкторских работ.</w:t>
      </w:r>
    </w:p>
    <w:p w:rsidR="00000000" w:rsidRDefault="00CC7B8D">
      <w:r>
        <w:t xml:space="preserve">Общий объем финансирования Программы приведен в </w:t>
      </w:r>
      <w:hyperlink w:anchor="sub_1002" w:history="1">
        <w:r>
          <w:rPr>
            <w:rStyle w:val="a4"/>
          </w:rPr>
          <w:t>приложении 2</w:t>
        </w:r>
      </w:hyperlink>
      <w:r>
        <w:t xml:space="preserve"> к Программе.</w:t>
      </w:r>
    </w:p>
    <w:p w:rsidR="00000000" w:rsidRDefault="00CC7B8D"/>
    <w:p w:rsidR="00000000" w:rsidRDefault="00CC7B8D">
      <w:pPr>
        <w:pStyle w:val="1"/>
      </w:pPr>
      <w:bookmarkStart w:id="32" w:name="sub_600"/>
      <w:r>
        <w:t>V. Механизм реализации Программы</w:t>
      </w:r>
    </w:p>
    <w:bookmarkEnd w:id="32"/>
    <w:p w:rsidR="00000000" w:rsidRDefault="00CC7B8D"/>
    <w:p w:rsidR="00000000" w:rsidRDefault="00CC7B8D">
      <w:bookmarkStart w:id="33" w:name="sub_1020"/>
      <w:r>
        <w:t>Исполнителем мероприятий, предусмотренных Программой, является Министерство</w:t>
      </w:r>
      <w:r>
        <w:t xml:space="preserve"> жилищно-коммунального хозяйства Чеченской Республики, которое ежегодно формирует бюджетные заявки на финансирование мероприятий из средств республиканского бюджета и в установленном порядке представляет их в Министерство финансов Чеченской Республики, а т</w:t>
      </w:r>
      <w:r>
        <w:t xml:space="preserve">акже заключает договоры на поставки товаров, выполнение работ, оказание услуг для государственных нужд со всеми поставщиками, определенными на конкурсной основе в соответствии с установленным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порядком</w:t>
      </w:r>
      <w:r>
        <w:t>.</w:t>
      </w:r>
    </w:p>
    <w:bookmarkEnd w:id="33"/>
    <w:p w:rsidR="00000000" w:rsidRDefault="00CC7B8D">
      <w:r>
        <w:t xml:space="preserve">Информация о ходе реализации мероприятий Программы приводится в </w:t>
      </w:r>
      <w:hyperlink w:anchor="sub_1005" w:history="1">
        <w:r>
          <w:rPr>
            <w:rStyle w:val="a4"/>
          </w:rPr>
          <w:t>приложениях 5</w:t>
        </w:r>
      </w:hyperlink>
      <w:r>
        <w:t xml:space="preserve">, </w:t>
      </w:r>
      <w:hyperlink w:anchor="sub_1600" w:history="1">
        <w:r>
          <w:rPr>
            <w:rStyle w:val="a4"/>
          </w:rPr>
          <w:t>6</w:t>
        </w:r>
      </w:hyperlink>
      <w:r>
        <w:t xml:space="preserve"> и </w:t>
      </w:r>
      <w:hyperlink w:anchor="sub_1700" w:history="1">
        <w:r>
          <w:rPr>
            <w:rStyle w:val="a4"/>
          </w:rPr>
          <w:t>7</w:t>
        </w:r>
      </w:hyperlink>
      <w:r>
        <w:t xml:space="preserve"> к Программе.</w:t>
      </w:r>
    </w:p>
    <w:p w:rsidR="00000000" w:rsidRDefault="00CC7B8D"/>
    <w:p w:rsidR="00000000" w:rsidRDefault="00CC7B8D">
      <w:pPr>
        <w:pStyle w:val="1"/>
      </w:pPr>
      <w:bookmarkStart w:id="34" w:name="sub_700"/>
      <w:r>
        <w:t>VI. </w:t>
      </w:r>
      <w:r>
        <w:t>Организация, управление и контроль за реализацией Программы</w:t>
      </w:r>
    </w:p>
    <w:bookmarkEnd w:id="34"/>
    <w:p w:rsidR="00000000" w:rsidRDefault="00CC7B8D"/>
    <w:p w:rsidR="00000000" w:rsidRDefault="00CC7B8D">
      <w:r>
        <w:t>Государственный заказчик осуществляет управление выполнением Программы, обеспечение необходимого научно-технического уровня ее основных мероприятий и контроль над ее реализацией.</w:t>
      </w:r>
    </w:p>
    <w:p w:rsidR="00000000" w:rsidRDefault="00CC7B8D"/>
    <w:p w:rsidR="00000000" w:rsidRDefault="00CC7B8D">
      <w:pPr>
        <w:pStyle w:val="1"/>
      </w:pPr>
      <w:bookmarkStart w:id="35" w:name="sub_800"/>
      <w:r>
        <w:t>V</w:t>
      </w:r>
      <w:r>
        <w:t>II. Оценка эффективности социально-экономических и экологических</w:t>
      </w:r>
    </w:p>
    <w:bookmarkEnd w:id="35"/>
    <w:p w:rsidR="00000000" w:rsidRDefault="00CC7B8D"/>
    <w:p w:rsidR="00000000" w:rsidRDefault="00CC7B8D">
      <w:r>
        <w:t>Уроки землетрясения в Курчалоевском районе еще раз показывают, что даже 7-бальное землетрясение может стать социальным и экономическим потрясением в масштабе республики.</w:t>
      </w:r>
    </w:p>
    <w:p w:rsidR="00000000" w:rsidRDefault="00CC7B8D">
      <w:r>
        <w:t xml:space="preserve">В г. Грозном </w:t>
      </w:r>
      <w:r>
        <w:t>и на других густонаселенных территориях республики, согласно сейсмологическим прогнозам, может произойти землетрясение интенсивностью 9 баллов и выше, то есть сопоставимое по масштабам с землетрясением в г. Спитак (Армения, 7 декабря 1988 г.), когда погибл</w:t>
      </w:r>
      <w:r>
        <w:t>о 35 тыс. человек, а материальный ущерб превысил 10 млрд. долларов США.</w:t>
      </w:r>
    </w:p>
    <w:p w:rsidR="00000000" w:rsidRDefault="00CC7B8D">
      <w:r>
        <w:t>Растут ожидаемые потери от землетрясений в связи с происходящей урбанизацией территории Чеченской Республики, строительством крупных инженерных сооружений, разрушение которых может при</w:t>
      </w:r>
      <w:r>
        <w:t>вести к возникновению экологических катастроф. Возрастающую опасность представляют собой землетрясения, вызванные техногенными воздействиями на земную кору, созданием водохранилищ, добычей нефти, газа и так далее.</w:t>
      </w:r>
    </w:p>
    <w:p w:rsidR="00000000" w:rsidRDefault="00CC7B8D">
      <w:r>
        <w:t>Реализация Программы позволит уменьшить по</w:t>
      </w:r>
      <w:r>
        <w:t xml:space="preserve">тери населения от </w:t>
      </w:r>
      <w:r>
        <w:lastRenderedPageBreak/>
        <w:t>землетрясений, а в некоторых случаях полностью избежать потерь, в том числе от вторичных эффектов землетрясений.</w:t>
      </w:r>
    </w:p>
    <w:p w:rsidR="00000000" w:rsidRDefault="00CC7B8D">
      <w:r>
        <w:t xml:space="preserve">Оценка экономической, бюджетной и социальной эффективности Программы приведена в </w:t>
      </w:r>
      <w:hyperlink w:anchor="sub_1001" w:history="1">
        <w:r>
          <w:rPr>
            <w:rStyle w:val="a4"/>
          </w:rPr>
          <w:t>приложении 1</w:t>
        </w:r>
      </w:hyperlink>
      <w:r>
        <w:t xml:space="preserve"> к Про</w:t>
      </w:r>
      <w:r>
        <w:t>грамме.</w:t>
      </w:r>
    </w:p>
    <w:p w:rsidR="00000000" w:rsidRDefault="00CC7B8D">
      <w:r>
        <w:t xml:space="preserve">Методика оценки эффективности реализации Программы приведена в </w:t>
      </w:r>
      <w:hyperlink w:anchor="sub_1400" w:history="1">
        <w:r>
          <w:rPr>
            <w:rStyle w:val="a4"/>
          </w:rPr>
          <w:t>приложении 4</w:t>
        </w:r>
      </w:hyperlink>
      <w:r>
        <w:t xml:space="preserve"> к Программе.</w:t>
      </w:r>
    </w:p>
    <w:p w:rsidR="00000000" w:rsidRDefault="00CC7B8D"/>
    <w:p w:rsidR="00000000" w:rsidRDefault="00CC7B8D">
      <w:pPr>
        <w:pStyle w:val="afa"/>
        <w:rPr>
          <w:color w:val="000000"/>
          <w:sz w:val="16"/>
          <w:szCs w:val="16"/>
        </w:rPr>
      </w:pPr>
      <w:bookmarkStart w:id="36" w:name="sub_1001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CC7B8D">
      <w:pPr>
        <w:pStyle w:val="afb"/>
      </w:pPr>
      <w:r>
        <w:fldChar w:fldCharType="begin"/>
      </w:r>
      <w:r>
        <w:instrText>HYPERLINK "garantF1://35813579.102"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Чеченской Республики от</w:t>
      </w:r>
      <w:r>
        <w:t xml:space="preserve"> 3 декабря 2013 г. N 293 настоящее приложение изложено в новой редакции, </w:t>
      </w:r>
      <w:hyperlink r:id="rId20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2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CC7B8D">
      <w:pPr>
        <w:pStyle w:val="afb"/>
      </w:pPr>
      <w:r>
        <w:t xml:space="preserve">См. текст приложения в предыдущей </w:t>
      </w:r>
      <w:r>
        <w:t>редакции</w:t>
      </w:r>
    </w:p>
    <w:p w:rsidR="00000000" w:rsidRDefault="00CC7B8D">
      <w:pPr>
        <w:ind w:firstLine="698"/>
        <w:jc w:val="right"/>
      </w:pPr>
      <w:r>
        <w:rPr>
          <w:rStyle w:val="a3"/>
        </w:rPr>
        <w:t>Приложение N 1</w:t>
      </w:r>
    </w:p>
    <w:p w:rsidR="00000000" w:rsidRDefault="00CC7B8D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республиканской целевой программе</w:t>
        </w:r>
      </w:hyperlink>
      <w:r>
        <w:rPr>
          <w:rStyle w:val="a3"/>
        </w:rPr>
        <w:t xml:space="preserve"> "Повышение устойчивости жилых</w:t>
      </w:r>
    </w:p>
    <w:p w:rsidR="00000000" w:rsidRDefault="00CC7B8D">
      <w:pPr>
        <w:ind w:firstLine="698"/>
        <w:jc w:val="right"/>
      </w:pPr>
      <w:r>
        <w:rPr>
          <w:rStyle w:val="a3"/>
        </w:rPr>
        <w:t>домов, основных объектов и систем жизнеобеспечения на территории</w:t>
      </w:r>
    </w:p>
    <w:p w:rsidR="00000000" w:rsidRDefault="00CC7B8D">
      <w:pPr>
        <w:ind w:firstLine="698"/>
        <w:jc w:val="right"/>
      </w:pPr>
      <w:r>
        <w:rPr>
          <w:rStyle w:val="a3"/>
        </w:rPr>
        <w:t>Чеченской Республики на 2009-2018 годы"</w:t>
      </w:r>
    </w:p>
    <w:p w:rsidR="00000000" w:rsidRDefault="00CC7B8D">
      <w:pPr>
        <w:ind w:firstLine="698"/>
        <w:jc w:val="righ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CC7B8D"/>
    <w:p w:rsidR="00000000" w:rsidRDefault="00CC7B8D">
      <w:pPr>
        <w:pStyle w:val="1"/>
      </w:pPr>
      <w:r>
        <w:t>Оценка</w:t>
      </w:r>
      <w:r>
        <w:br/>
        <w:t>эконом</w:t>
      </w:r>
      <w:r>
        <w:t>ической, бюджетной и социальной эффективности республиканской целевой программы "Повышение устойчивости жилых домов, основных объектов и систем жизнеобеспечения на территории Чеченской Республики на 2009-2018 годы"</w:t>
      </w:r>
    </w:p>
    <w:p w:rsidR="00000000" w:rsidRDefault="00CC7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1747"/>
        <w:gridCol w:w="1529"/>
        <w:gridCol w:w="1092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7"/>
        <w:gridCol w:w="983"/>
        <w:gridCol w:w="874"/>
        <w:gridCol w:w="874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п/п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целевых показателей (ед. измерения)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мероприятий, обеспечивающих достижение результата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Фактическое значение целевого показателя на момент разработки Программы</w:t>
            </w:r>
          </w:p>
        </w:tc>
        <w:tc>
          <w:tcPr>
            <w:tcW w:w="6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Значения целевого показателя, млрд. руб.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Значение целевого показателя по</w:t>
            </w:r>
            <w:r>
              <w:rPr>
                <w:sz w:val="19"/>
                <w:szCs w:val="19"/>
              </w:rPr>
              <w:t xml:space="preserve"> окончании действия Программы, млрд. руб.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Финансовые затраты на реализацию, млн.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2009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2010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2018</w:t>
            </w: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Общие затраты по соответствующим мероприятиям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Бюджетные затраты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Общие бюджетные затраты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Затраты бюджета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Размер предотвращенного ущерба от возможного разрушения жилых домов, основных объектов и систем жизнеобеспечения в результате землетрясений (млрд. рублей)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Осуществление мероприятий по сейсмоусилению наиболее важных зданий и сооружений и проведение комплекса научно-исследовательских и опытно-конструкторских работ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1,47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1,37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3,93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Снижение уровня риска возникновения чрезвычайных ситуаций </w:t>
            </w:r>
            <w:r>
              <w:rPr>
                <w:sz w:val="19"/>
                <w:szCs w:val="19"/>
              </w:rPr>
              <w:lastRenderedPageBreak/>
              <w:t>вследствие разрушительных землетрясений (в процентах)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395,23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395,23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площадь зданий и сооружений, по которым ликвидирован дефицит сейсмостойкости (тыс. кв. м)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Осуществление мероприятий по сейсмоусилению наиболее важных зданий и сооружений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6,71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4,70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7,71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67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по Программе: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395,23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395,23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99,53</w:t>
            </w:r>
          </w:p>
        </w:tc>
      </w:tr>
    </w:tbl>
    <w:p w:rsidR="00000000" w:rsidRDefault="00CC7B8D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C7B8D"/>
    <w:p w:rsidR="00000000" w:rsidRDefault="00CC7B8D">
      <w:pPr>
        <w:pStyle w:val="afa"/>
        <w:rPr>
          <w:color w:val="000000"/>
          <w:sz w:val="16"/>
          <w:szCs w:val="16"/>
        </w:rPr>
      </w:pPr>
      <w:bookmarkStart w:id="37" w:name="sub_1002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CC7B8D">
      <w:pPr>
        <w:pStyle w:val="afb"/>
      </w:pPr>
      <w:r>
        <w:fldChar w:fldCharType="begin"/>
      </w:r>
      <w:r>
        <w:instrText>HYPERLINK "garantF1://35813579.102"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Чеченской Республики от 3 декабря 2013 г. N 293 настоящее приложение изложено в новой редакции, </w:t>
      </w:r>
      <w:hyperlink r:id="rId22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2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CC7B8D">
      <w:pPr>
        <w:pStyle w:val="afb"/>
      </w:pPr>
      <w:r>
        <w:t>См. текст приложения в предыдущей редакции</w:t>
      </w:r>
    </w:p>
    <w:p w:rsidR="00000000" w:rsidRDefault="00CC7B8D">
      <w:pPr>
        <w:ind w:firstLine="698"/>
        <w:jc w:val="right"/>
      </w:pPr>
      <w:r>
        <w:rPr>
          <w:rStyle w:val="a3"/>
        </w:rPr>
        <w:t>Приложение N 2</w:t>
      </w:r>
    </w:p>
    <w:p w:rsidR="00000000" w:rsidRDefault="00CC7B8D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 xml:space="preserve">республиканской целевой </w:t>
        </w:r>
        <w:r>
          <w:rPr>
            <w:rStyle w:val="a4"/>
            <w:b/>
            <w:bCs/>
          </w:rPr>
          <w:t>программе</w:t>
        </w:r>
      </w:hyperlink>
      <w:r>
        <w:rPr>
          <w:rStyle w:val="a3"/>
        </w:rPr>
        <w:t xml:space="preserve"> "Повышение устойчивости жилых</w:t>
      </w:r>
    </w:p>
    <w:p w:rsidR="00000000" w:rsidRDefault="00CC7B8D">
      <w:pPr>
        <w:ind w:firstLine="698"/>
        <w:jc w:val="right"/>
      </w:pPr>
      <w:r>
        <w:rPr>
          <w:rStyle w:val="a3"/>
        </w:rPr>
        <w:t>домов, основных объектов и систем жизнеобеспечения на территории</w:t>
      </w:r>
    </w:p>
    <w:p w:rsidR="00000000" w:rsidRDefault="00CC7B8D">
      <w:pPr>
        <w:ind w:firstLine="698"/>
        <w:jc w:val="right"/>
      </w:pPr>
      <w:r>
        <w:rPr>
          <w:rStyle w:val="a3"/>
        </w:rPr>
        <w:t>Чеченской Республики на 2009-2018 годы"</w:t>
      </w:r>
    </w:p>
    <w:p w:rsidR="00000000" w:rsidRDefault="00CC7B8D"/>
    <w:p w:rsidR="00000000" w:rsidRDefault="00CC7B8D">
      <w:pPr>
        <w:pStyle w:val="1"/>
      </w:pPr>
      <w:r>
        <w:t>Объемы</w:t>
      </w:r>
      <w:r>
        <w:br/>
        <w:t>финансирования республиканской целевой программы "Повышение устойчивости жилых домов, основных объек</w:t>
      </w:r>
      <w:r>
        <w:t>тов и систем жизнеобеспечения на территории Чеченской Республики на 2009-2018 годы"</w:t>
      </w:r>
    </w:p>
    <w:p w:rsidR="00000000" w:rsidRDefault="00CC7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540"/>
        <w:gridCol w:w="980"/>
        <w:gridCol w:w="980"/>
        <w:gridCol w:w="980"/>
        <w:gridCol w:w="980"/>
        <w:gridCol w:w="980"/>
        <w:gridCol w:w="980"/>
        <w:gridCol w:w="980"/>
        <w:gridCol w:w="980"/>
        <w:gridCol w:w="112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C7B8D">
            <w:pPr>
              <w:pStyle w:val="aff6"/>
              <w:jc w:val="right"/>
            </w:pPr>
            <w:r>
              <w:t>(млн. руб. в ценах соответствующих лет)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2009-2018 гг., всего, млн. руб.</w:t>
            </w:r>
          </w:p>
        </w:tc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2009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2010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2011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2012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2013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2014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2015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2016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2017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2018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f"/>
            </w:pPr>
            <w:r>
              <w:rPr>
                <w:rStyle w:val="a3"/>
              </w:rPr>
              <w:t>За счет средств всех источников финансирования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</w:pPr>
            <w:r>
              <w:t>НИОКР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1.80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0.0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1.80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0.0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0.0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0.0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</w:pPr>
            <w:r>
              <w:t>Капитальные вложения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393,43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13,57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146,92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95,84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137,10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</w:pPr>
            <w: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395,23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13,57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148,72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95,84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137,10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f"/>
            </w:pPr>
            <w:r>
              <w:rPr>
                <w:rStyle w:val="a3"/>
              </w:rPr>
              <w:t>За счет средств федерального 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</w:pPr>
            <w:r>
              <w:t>НИОКР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0.0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0.0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0.0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0.0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0.0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0.0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</w:pPr>
            <w:r>
              <w:t>Капитальные вложения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295,70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9,18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110,73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72,34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103,45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</w:pPr>
            <w: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295,70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9,18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110,73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72,34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103,45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f"/>
            </w:pPr>
            <w:r>
              <w:rPr>
                <w:rStyle w:val="a3"/>
              </w:rPr>
              <w:t>За счет средств республиканского 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</w:pPr>
            <w:r>
              <w:t>НИОКР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1,80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1,80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</w:pPr>
            <w:r>
              <w:t>Капитальные вложения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97,73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4,39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36,19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23,50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33,65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</w:pPr>
            <w: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99,53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4,39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37,99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23,50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33,65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6"/>
              <w:jc w:val="center"/>
            </w:pPr>
            <w:r>
              <w:t>0,0</w:t>
            </w:r>
          </w:p>
        </w:tc>
      </w:tr>
    </w:tbl>
    <w:p w:rsidR="00000000" w:rsidRDefault="00CC7B8D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CC7B8D"/>
    <w:p w:rsidR="00000000" w:rsidRDefault="00CC7B8D">
      <w:pPr>
        <w:pStyle w:val="afa"/>
        <w:rPr>
          <w:color w:val="000000"/>
          <w:sz w:val="16"/>
          <w:szCs w:val="16"/>
        </w:rPr>
      </w:pPr>
      <w:bookmarkStart w:id="38" w:name="sub_1300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CC7B8D">
      <w:pPr>
        <w:pStyle w:val="afb"/>
      </w:pPr>
      <w:r>
        <w:fldChar w:fldCharType="begin"/>
      </w:r>
      <w:r>
        <w:instrText>HYPERLINK "garantF1://35813579.102"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Чеченской Республики от 3 декабря 2013 г. N 293 настоящее приложение изложено в новой редакции, </w:t>
      </w:r>
      <w:hyperlink r:id="rId24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2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CC7B8D">
      <w:pPr>
        <w:pStyle w:val="afb"/>
      </w:pPr>
      <w:r>
        <w:t>См. текст приложения в предыдущей редакции</w:t>
      </w:r>
    </w:p>
    <w:p w:rsidR="00000000" w:rsidRDefault="00CC7B8D">
      <w:pPr>
        <w:ind w:firstLine="698"/>
        <w:jc w:val="right"/>
      </w:pPr>
      <w:r>
        <w:rPr>
          <w:rStyle w:val="a3"/>
        </w:rPr>
        <w:t>Приложение N 3</w:t>
      </w:r>
    </w:p>
    <w:p w:rsidR="00000000" w:rsidRDefault="00CC7B8D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республиканской целевой программе</w:t>
        </w:r>
      </w:hyperlink>
      <w:r>
        <w:rPr>
          <w:rStyle w:val="a3"/>
        </w:rPr>
        <w:t xml:space="preserve"> "Повышение устойчивости жилых</w:t>
      </w:r>
    </w:p>
    <w:p w:rsidR="00000000" w:rsidRDefault="00CC7B8D">
      <w:pPr>
        <w:ind w:firstLine="698"/>
        <w:jc w:val="right"/>
      </w:pPr>
      <w:r>
        <w:rPr>
          <w:rStyle w:val="a3"/>
        </w:rPr>
        <w:t>домов, основных объе</w:t>
      </w:r>
      <w:r>
        <w:rPr>
          <w:rStyle w:val="a3"/>
        </w:rPr>
        <w:t>ктов и систем жизнеобеспечения на территории</w:t>
      </w:r>
    </w:p>
    <w:p w:rsidR="00000000" w:rsidRDefault="00CC7B8D">
      <w:pPr>
        <w:ind w:firstLine="698"/>
        <w:jc w:val="right"/>
      </w:pPr>
      <w:r>
        <w:rPr>
          <w:rStyle w:val="a3"/>
        </w:rPr>
        <w:t>Чеченской Республики на 2009-2018 годы"</w:t>
      </w:r>
    </w:p>
    <w:p w:rsidR="00000000" w:rsidRDefault="00CC7B8D"/>
    <w:p w:rsidR="00000000" w:rsidRDefault="00CC7B8D">
      <w:pPr>
        <w:pStyle w:val="1"/>
      </w:pPr>
      <w:r>
        <w:t>Перечень</w:t>
      </w:r>
      <w:r>
        <w:br/>
        <w:t>программных мероприятий республиканской целевой программы "Повышение устойчивости жилых домов, основных объектов и систем жизнеобеспечения на территории Чеченско</w:t>
      </w:r>
      <w:r>
        <w:t>й Республики на 2009-2018 годы"</w:t>
      </w:r>
    </w:p>
    <w:p w:rsidR="00000000" w:rsidRDefault="00CC7B8D"/>
    <w:p w:rsidR="00000000" w:rsidRDefault="00CC7B8D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1928"/>
        <w:gridCol w:w="907"/>
        <w:gridCol w:w="1021"/>
        <w:gridCol w:w="907"/>
        <w:gridCol w:w="1021"/>
        <w:gridCol w:w="1021"/>
        <w:gridCol w:w="907"/>
        <w:gridCol w:w="1021"/>
        <w:gridCol w:w="907"/>
        <w:gridCol w:w="1021"/>
        <w:gridCol w:w="680"/>
        <w:gridCol w:w="680"/>
        <w:gridCol w:w="681"/>
        <w:gridCol w:w="794"/>
        <w:gridCol w:w="10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Мероприятия программы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Заказчики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Исполнители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Главные распорядители бюджетных средств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</w:t>
            </w:r>
          </w:p>
        </w:tc>
        <w:tc>
          <w:tcPr>
            <w:tcW w:w="6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Финансовые затраты на реализацию, тыс. рублей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Ожидаемый 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5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2018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Осуществление мероприятий по сейсмоусилени</w:t>
            </w:r>
            <w:r>
              <w:rPr>
                <w:sz w:val="19"/>
                <w:szCs w:val="19"/>
              </w:rPr>
              <w:t>ю наиболее важных зданий и сооружений и (или) по строительству новых сейсмостойких объектов взамен объектов, сейсмоусиление или реконструкция которых экономически нецелесообразны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МЖКХ ЧР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МЖКХ ЧР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20122015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393430,0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13570,0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146920,0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95840,0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137100,0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ФБ РБ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Снижение сейсмической уязвимости основных объектов и систем жизнеобеспечения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Сейсмоусиление СШ на 320 мест с. Пригородное, Грозненский район, ЧР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МЖКХ ЧР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Определяются на конкурсной основе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МЖКХ ЧР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20122013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49615,4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13570,0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36045,4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ФБ РБ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Сейсмоусиление СОШ N 6 на 624 места по ул. Маяковского, г. Урус-Мартан, Урус-Мартановский район, ЧР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МЖКХ ЧР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Определяются на конкурсной основе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МЖКХ ЧР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110874,6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110874,6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ФБ РБ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Сейсмоусиление </w:t>
            </w:r>
            <w:r>
              <w:rPr>
                <w:sz w:val="19"/>
                <w:szCs w:val="19"/>
              </w:rPr>
              <w:lastRenderedPageBreak/>
              <w:t>СШ N 2 на 500 мест, с. Энгель-Юрт, Гудермеский район, ЧР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МЖКХ </w:t>
            </w:r>
            <w:r>
              <w:rPr>
                <w:sz w:val="19"/>
                <w:szCs w:val="19"/>
              </w:rPr>
              <w:lastRenderedPageBreak/>
              <w:t>ЧР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Определ</w:t>
            </w:r>
            <w:r>
              <w:rPr>
                <w:sz w:val="19"/>
                <w:szCs w:val="19"/>
              </w:rPr>
              <w:lastRenderedPageBreak/>
              <w:t>яются на конкурсной основе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МЖКХ </w:t>
            </w:r>
            <w:r>
              <w:rPr>
                <w:sz w:val="19"/>
                <w:szCs w:val="19"/>
              </w:rPr>
              <w:lastRenderedPageBreak/>
              <w:t>ЧР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2014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95840,0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95840,0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ФБ РБ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1.4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Сейсмоусиление СШ N 1 на 320 мест, по ул. Калинина с. Старая Сунжа Грозненский район, ЧР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МЖКХ ЧР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Определяются на конкурсной основе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МЖКХ ЧР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78681,6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78681,6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ФБ РБ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Сейсмоусиление Г</w:t>
            </w:r>
            <w:r>
              <w:rPr>
                <w:sz w:val="19"/>
                <w:szCs w:val="19"/>
              </w:rPr>
              <w:t>ОУ "С(к)ОШИГС" (Государственное Общеобразовательное учреждение "Специальная (Коррекционная) общеобразовательная школа- интернат для глухих и слабослышащих")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МЖКХ ЧР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Определяются на конкурсной основе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МЖКХ ЧР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58418,4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58418,4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ФБ РБ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комплекса научно-исследовательских и опытно-конструкторских работ (НИОКР)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МЖКХ ЧР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МЖКХ ЧР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Совершенствование нормативной правовой и информационной базы с целью обеспечения сейсмической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Разработка конструкций по сейсмостойким фундаментам и основаниям зданий. Разработка новых высокосейсмостойких конструкций по усилению эксплуатир</w:t>
            </w:r>
            <w:r>
              <w:rPr>
                <w:sz w:val="19"/>
                <w:szCs w:val="19"/>
              </w:rPr>
              <w:t>уемых транспортных, энергетических сооружений, инженерных сетей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МЖКХ ЧР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Определяются на конкурсной основе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МЖКХ ЧР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по Программе: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395230,0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13570,0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148720,0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95840,0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137100,0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7B8D">
            <w:pPr>
              <w:pStyle w:val="aff6"/>
              <w:rPr>
                <w:sz w:val="19"/>
                <w:szCs w:val="19"/>
              </w:rPr>
            </w:pPr>
          </w:p>
        </w:tc>
      </w:tr>
    </w:tbl>
    <w:p w:rsidR="00000000" w:rsidRDefault="00CC7B8D"/>
    <w:p w:rsidR="00000000" w:rsidRDefault="00CC7B8D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C7B8D">
      <w:pPr>
        <w:ind w:firstLine="698"/>
        <w:jc w:val="right"/>
      </w:pPr>
      <w:bookmarkStart w:id="39" w:name="sub_1400"/>
      <w:r>
        <w:rPr>
          <w:rStyle w:val="a3"/>
        </w:rPr>
        <w:lastRenderedPageBreak/>
        <w:t>Приложение 4</w:t>
      </w:r>
    </w:p>
    <w:bookmarkEnd w:id="39"/>
    <w:p w:rsidR="00000000" w:rsidRDefault="00CC7B8D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республиканской целевой программе</w:t>
        </w:r>
      </w:hyperlink>
      <w:r>
        <w:rPr>
          <w:rStyle w:val="a3"/>
        </w:rPr>
        <w:t xml:space="preserve"> "Повышение</w:t>
      </w:r>
    </w:p>
    <w:p w:rsidR="00000000" w:rsidRDefault="00CC7B8D">
      <w:pPr>
        <w:ind w:firstLine="698"/>
        <w:jc w:val="right"/>
      </w:pPr>
      <w:r>
        <w:rPr>
          <w:rStyle w:val="a3"/>
        </w:rPr>
        <w:t>устойчивости жилых домов, основных объектов и</w:t>
      </w:r>
    </w:p>
    <w:p w:rsidR="00000000" w:rsidRDefault="00CC7B8D">
      <w:pPr>
        <w:ind w:firstLine="698"/>
        <w:jc w:val="right"/>
      </w:pPr>
      <w:r>
        <w:rPr>
          <w:rStyle w:val="a3"/>
        </w:rPr>
        <w:t>систем жизнеобеспечения на территории Чеченской</w:t>
      </w:r>
    </w:p>
    <w:p w:rsidR="00000000" w:rsidRDefault="00CC7B8D">
      <w:pPr>
        <w:ind w:firstLine="698"/>
        <w:jc w:val="right"/>
      </w:pPr>
      <w:r>
        <w:rPr>
          <w:rStyle w:val="a3"/>
        </w:rPr>
        <w:t>Республики на 2009-2018 годы"</w:t>
      </w:r>
    </w:p>
    <w:p w:rsidR="00000000" w:rsidRDefault="00CC7B8D"/>
    <w:p w:rsidR="00000000" w:rsidRDefault="00CC7B8D">
      <w:pPr>
        <w:pStyle w:val="1"/>
      </w:pPr>
      <w:r>
        <w:t>Методика</w:t>
      </w:r>
      <w:r>
        <w:br/>
        <w:t>оценки эффективности реализации республиканской целевой программы "Повышение устойчивости жилых домов, основных объектов и систем жизнеобеспечения на территории Чеченской Республики на 2009-2018 годы"</w:t>
      </w:r>
    </w:p>
    <w:p w:rsidR="00000000" w:rsidRDefault="00CC7B8D"/>
    <w:p w:rsidR="00000000" w:rsidRDefault="00CC7B8D">
      <w:bookmarkStart w:id="40" w:name="sub_1401"/>
      <w:r>
        <w:t>1. Настоящая методика определяет поря</w:t>
      </w:r>
      <w:r>
        <w:t>док оценки эффективности реализации республиканской целевой программы "Повышение устойчивости жилых домов, основных объектов и систем жизнеобеспечения на территории Чеченской Республики на 2009-2018 годы" (далее - Программа).</w:t>
      </w:r>
    </w:p>
    <w:bookmarkEnd w:id="40"/>
    <w:p w:rsidR="00000000" w:rsidRDefault="00CC7B8D">
      <w:r>
        <w:t>Оценка эффективности р</w:t>
      </w:r>
      <w:r>
        <w:t>еализации Программы осуществляется ежегодно на основе целевых индикаторов и показателей, что обеспечит мониторинг динамики изменений за оцениваемый период с целью уточнения степени эффективности реализации мероприятий Программы.</w:t>
      </w:r>
    </w:p>
    <w:p w:rsidR="00000000" w:rsidRDefault="00CC7B8D">
      <w:bookmarkStart w:id="41" w:name="sub_1402"/>
      <w:r>
        <w:t>2. Размер предотвра</w:t>
      </w:r>
      <w:r>
        <w:t>щенного ущерба от возможного разрушения жилых домов, основных объектов и систем жизнеобеспечения (далее - объекты) в результате землетрясений (Эу) определяется по формуле:</w:t>
      </w:r>
    </w:p>
    <w:bookmarkEnd w:id="41"/>
    <w:p w:rsidR="00000000" w:rsidRDefault="00CC7B8D"/>
    <w:p w:rsidR="00000000" w:rsidRDefault="00CC7B8D">
      <w:r>
        <w:t>Эу = Опр х 10,</w:t>
      </w:r>
    </w:p>
    <w:p w:rsidR="00000000" w:rsidRDefault="00CC7B8D"/>
    <w:p w:rsidR="00000000" w:rsidRDefault="00CC7B8D">
      <w:r>
        <w:t>где:</w:t>
      </w:r>
    </w:p>
    <w:p w:rsidR="00000000" w:rsidRDefault="00CC7B8D">
      <w:r>
        <w:t>Опр - объем средств на проведение мероприятий по сейсм</w:t>
      </w:r>
      <w:r>
        <w:t xml:space="preserve">оусилению существующих объектов и (или) строительству новых сейсмостойких объектов капитального строительства государственной или муниципальной собственности взамен тех объектов, сейсмоусиление или реконструкция которых экономически нецелесообразны (далее </w:t>
      </w:r>
      <w:r>
        <w:t>- новые сейсмостойкие объекты);</w:t>
      </w:r>
    </w:p>
    <w:p w:rsidR="00000000" w:rsidRDefault="00CC7B8D">
      <w:r>
        <w:t>10 - коэффициент предотвращенного ущерба при пессимистическом варианте развития сейсмических проявлений.</w:t>
      </w:r>
    </w:p>
    <w:p w:rsidR="00000000" w:rsidRDefault="00CC7B8D">
      <w:bookmarkStart w:id="42" w:name="sub_1403"/>
      <w:r>
        <w:t>3. Снижение уровня риска возникновения чрезвычайных ситуаций вследствие разрушительных землетрясений определяет</w:t>
      </w:r>
      <w:r>
        <w:t>ся по формуле:</w:t>
      </w:r>
    </w:p>
    <w:bookmarkEnd w:id="42"/>
    <w:p w:rsidR="00000000" w:rsidRDefault="00CC7B8D"/>
    <w:p w:rsidR="00000000" w:rsidRDefault="00CC7B8D">
      <w:r>
        <w:t>Ур = Ос х 100% / Об,</w:t>
      </w:r>
    </w:p>
    <w:p w:rsidR="00000000" w:rsidRDefault="00CC7B8D"/>
    <w:p w:rsidR="00000000" w:rsidRDefault="00CC7B8D">
      <w:r>
        <w:t>где:</w:t>
      </w:r>
    </w:p>
    <w:p w:rsidR="00000000" w:rsidRDefault="00CC7B8D">
      <w:r>
        <w:t>Ур - коэффициент, определяющий размер снижения уровня риска возникновения чрезвычайных ситуаций вследствие разрушительных землетрясений;</w:t>
      </w:r>
    </w:p>
    <w:p w:rsidR="00000000" w:rsidRDefault="00CC7B8D">
      <w:r>
        <w:t xml:space="preserve">Ос - количество объектов, в отношении которых проведены мероприятия </w:t>
      </w:r>
      <w:r>
        <w:t>по сейсмоусилению существующих объектов и (или) строительству новых сейсмостойких объектов;</w:t>
      </w:r>
    </w:p>
    <w:p w:rsidR="00000000" w:rsidRDefault="00CC7B8D">
      <w:r>
        <w:t>Об - общее количество объектов, требующих первоочередного сейсмоусиления или замены новыми сейсмостойкими объектами.</w:t>
      </w:r>
    </w:p>
    <w:p w:rsidR="00000000" w:rsidRDefault="00CC7B8D">
      <w:bookmarkStart w:id="43" w:name="sub_1404"/>
      <w:r>
        <w:t>4. Оценка эффективности реализации Прог</w:t>
      </w:r>
      <w:r>
        <w:t>раммы по каждому целевому индикатору и показателю осуществляется путем сравнения достигнутого значения показателя индикатора с его целевым значением и определяется по формуле:</w:t>
      </w:r>
    </w:p>
    <w:bookmarkEnd w:id="43"/>
    <w:p w:rsidR="00000000" w:rsidRDefault="00CC7B8D"/>
    <w:p w:rsidR="00000000" w:rsidRDefault="00CC7B8D">
      <w:r>
        <w:t>Эп = Иф х 100% / Иц,</w:t>
      </w:r>
    </w:p>
    <w:p w:rsidR="00000000" w:rsidRDefault="00CC7B8D"/>
    <w:p w:rsidR="00000000" w:rsidRDefault="00CC7B8D">
      <w:r>
        <w:t>где:</w:t>
      </w:r>
    </w:p>
    <w:p w:rsidR="00000000" w:rsidRDefault="00CC7B8D">
      <w:r>
        <w:t>Эп - показатель эффективности реализации Программы по данному индикатору;</w:t>
      </w:r>
    </w:p>
    <w:p w:rsidR="00000000" w:rsidRDefault="00CC7B8D">
      <w:r>
        <w:t>Иф - фактическое достигнутое значение показателя индикатора;</w:t>
      </w:r>
    </w:p>
    <w:p w:rsidR="00000000" w:rsidRDefault="00CC7B8D">
      <w:r>
        <w:t>Иц - нормативное значение показателя индикатора.</w:t>
      </w:r>
    </w:p>
    <w:p w:rsidR="00000000" w:rsidRDefault="00CC7B8D"/>
    <w:p w:rsidR="00000000" w:rsidRDefault="00CC7B8D">
      <w:pPr>
        <w:ind w:firstLine="698"/>
        <w:jc w:val="right"/>
      </w:pPr>
      <w:bookmarkStart w:id="44" w:name="sub_1005"/>
      <w:r>
        <w:rPr>
          <w:rStyle w:val="a3"/>
        </w:rPr>
        <w:t>Приложение 5</w:t>
      </w:r>
    </w:p>
    <w:bookmarkEnd w:id="44"/>
    <w:p w:rsidR="00000000" w:rsidRDefault="00CC7B8D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республиканской ц</w:t>
        </w:r>
        <w:r>
          <w:rPr>
            <w:rStyle w:val="a4"/>
            <w:b/>
            <w:bCs/>
          </w:rPr>
          <w:t>елевой программе</w:t>
        </w:r>
      </w:hyperlink>
      <w:r>
        <w:rPr>
          <w:rStyle w:val="a3"/>
        </w:rPr>
        <w:t xml:space="preserve"> "Повышение</w:t>
      </w:r>
    </w:p>
    <w:p w:rsidR="00000000" w:rsidRDefault="00CC7B8D">
      <w:pPr>
        <w:ind w:firstLine="698"/>
        <w:jc w:val="right"/>
      </w:pPr>
      <w:r>
        <w:rPr>
          <w:rStyle w:val="a3"/>
        </w:rPr>
        <w:t>устойчивости жилых домов, основных объектов и</w:t>
      </w:r>
    </w:p>
    <w:p w:rsidR="00000000" w:rsidRDefault="00CC7B8D">
      <w:pPr>
        <w:ind w:firstLine="698"/>
        <w:jc w:val="right"/>
      </w:pPr>
      <w:r>
        <w:rPr>
          <w:rStyle w:val="a3"/>
        </w:rPr>
        <w:t>систем жизнеобеспечения на территории Чеченской</w:t>
      </w:r>
    </w:p>
    <w:p w:rsidR="00000000" w:rsidRDefault="00CC7B8D">
      <w:pPr>
        <w:ind w:firstLine="698"/>
        <w:jc w:val="right"/>
      </w:pPr>
      <w:r>
        <w:rPr>
          <w:rStyle w:val="a3"/>
        </w:rPr>
        <w:t>Республики на 2009-2018 годы"</w:t>
      </w:r>
    </w:p>
    <w:p w:rsidR="00000000" w:rsidRDefault="00CC7B8D">
      <w:pPr>
        <w:ind w:firstLine="698"/>
        <w:jc w:val="righ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CC7B8D"/>
    <w:p w:rsidR="00000000" w:rsidRDefault="00CC7B8D">
      <w:pPr>
        <w:pStyle w:val="aff7"/>
        <w:rPr>
          <w:sz w:val="14"/>
          <w:szCs w:val="14"/>
        </w:rPr>
      </w:pPr>
      <w:r>
        <w:rPr>
          <w:rStyle w:val="a3"/>
          <w:sz w:val="14"/>
          <w:szCs w:val="14"/>
        </w:rPr>
        <w:t xml:space="preserve">                                                   Информация о ходе реализации</w:t>
      </w:r>
      <w:r>
        <w:rPr>
          <w:rStyle w:val="a3"/>
          <w:sz w:val="14"/>
          <w:szCs w:val="14"/>
        </w:rPr>
        <w:t xml:space="preserve"> мероприятий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rStyle w:val="a3"/>
          <w:sz w:val="14"/>
          <w:szCs w:val="14"/>
        </w:rPr>
        <w:t xml:space="preserve">                республиканской целевой программы "Повышение устойчивости жилых домов, основных объектов и систем жизнеобеспечения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rStyle w:val="a3"/>
          <w:sz w:val="14"/>
          <w:szCs w:val="14"/>
        </w:rPr>
        <w:t xml:space="preserve">                             на территории Чеченской Республики на 2009-2018 годы" и использование финансовых ср</w:t>
      </w:r>
      <w:r>
        <w:rPr>
          <w:rStyle w:val="a3"/>
          <w:sz w:val="14"/>
          <w:szCs w:val="14"/>
        </w:rPr>
        <w:t>едств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rStyle w:val="a3"/>
          <w:sz w:val="14"/>
          <w:szCs w:val="14"/>
        </w:rPr>
        <w:t xml:space="preserve">                                                 за_________________________________20______г.</w:t>
      </w:r>
    </w:p>
    <w:p w:rsidR="00000000" w:rsidRDefault="00CC7B8D"/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     РЦП "Повышение устойчивости жилых домов, основных объектов и систем жизнеобеспечения на территории Чеченской Республики на 2009-2018 годы"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     Минис</w:t>
      </w:r>
      <w:r>
        <w:rPr>
          <w:sz w:val="14"/>
          <w:szCs w:val="14"/>
        </w:rPr>
        <w:t>терство жилищно-коммунального хозяйства Чеченской Республики</w:t>
      </w:r>
    </w:p>
    <w:p w:rsidR="00000000" w:rsidRDefault="00CC7B8D"/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┌─────┬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│N п/п│Наименование │                          Ист</w:t>
      </w:r>
      <w:r>
        <w:rPr>
          <w:sz w:val="14"/>
          <w:szCs w:val="14"/>
        </w:rPr>
        <w:t>очники и объемы финансирования мероприятий программы, тыс. рублей                          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мероприятий ├────────────────────────────────────────┬─────────────────────────────────────────┬──────────────────────────────────────┤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│     │           </w:t>
      </w:r>
      <w:r>
        <w:rPr>
          <w:sz w:val="14"/>
          <w:szCs w:val="14"/>
        </w:rPr>
        <w:t xml:space="preserve">  │           федеральный бюджет           │                бюджет ЧР                │  бюджет муниципального образования  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            ├────────────┬─────────────┬─────────────┼─────────────┬─────────────┬─────────────┼────────────┬────────────┬</w:t>
      </w:r>
      <w:r>
        <w:rPr>
          <w:sz w:val="14"/>
          <w:szCs w:val="14"/>
        </w:rPr>
        <w:t>────────────┤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            │Предусмотре-│Предусмотрено│ Фактическое │Предусмотрено│Предусмотрено│ Фактическое │Предусмотре-│Предусмотре-│Фактическое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            │но на год   │ на отчетный │исполнение за│   на год    │ на отчетный │исполнен</w:t>
      </w:r>
      <w:r>
        <w:rPr>
          <w:sz w:val="14"/>
          <w:szCs w:val="14"/>
        </w:rPr>
        <w:t>ие за│но на год   │но на       │ исполнение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            │            │   период    │ отч. период │             │   период    │ отч. период │            │  отчетный  │  за отч.  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│     │             │            │             │             │    </w:t>
      </w:r>
      <w:r>
        <w:rPr>
          <w:sz w:val="14"/>
          <w:szCs w:val="14"/>
        </w:rPr>
        <w:t xml:space="preserve">         │             │             │            │   период   │   период  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┼────────────┼────────────┤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            │            │</w:t>
      </w:r>
      <w:r>
        <w:rPr>
          <w:sz w:val="14"/>
          <w:szCs w:val="14"/>
        </w:rPr>
        <w:t xml:space="preserve">             │             │             │             │             │            │            │           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┼────────────┼────────────┤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│ </w:t>
      </w:r>
      <w:r>
        <w:rPr>
          <w:sz w:val="14"/>
          <w:szCs w:val="14"/>
        </w:rPr>
        <w:t xml:space="preserve">    │             │            │             │             │             │             │             │            │            │           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┼────────────┼─────────────┼─────────────┼─────────────┼─────────────┼─────────────┼──────────</w:t>
      </w:r>
      <w:r>
        <w:rPr>
          <w:sz w:val="14"/>
          <w:szCs w:val="14"/>
        </w:rPr>
        <w:t>──┼────────────┼────────────┤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            │            │             │             │             │             │             │            │            │           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└─────┴─────────────┴────────────┴─────────────┴─────────────┴─────────────┴──────</w:t>
      </w:r>
      <w:r>
        <w:rPr>
          <w:sz w:val="14"/>
          <w:szCs w:val="14"/>
        </w:rPr>
        <w:t>───────┴─────────────┴────────────┴────────────┴────────────┘</w:t>
      </w:r>
    </w:p>
    <w:p w:rsidR="00000000" w:rsidRDefault="00CC7B8D"/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┌─────┬─────────────┬─────────────────────────────────────────────────────────────────────────────┬────────────┐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│N п/п│Наименование │    Источники и объемы финансирования мероприятий программы</w:t>
      </w:r>
      <w:r>
        <w:rPr>
          <w:sz w:val="14"/>
          <w:szCs w:val="14"/>
        </w:rPr>
        <w:t>, тыс. рублей     │  Причины  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мероприятий ├──────────────────────────────────────┬──────────────────────────────────────┤ отклонения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│     │             │        внебюджетные источники        │                всего                 │           </w:t>
      </w:r>
      <w:r>
        <w:rPr>
          <w:sz w:val="14"/>
          <w:szCs w:val="14"/>
        </w:rPr>
        <w:t xml:space="preserve">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            ├────────────┬────────────┬────────────┼────────────┬────────────┬────────────┤           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            │Предусмотре-│Предусмотре-│Фактическое │Предусмотре-│Предусмотре-│Фактическое │           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│     │             │но на </w:t>
      </w:r>
      <w:r>
        <w:rPr>
          <w:sz w:val="14"/>
          <w:szCs w:val="14"/>
        </w:rPr>
        <w:t>год   │но на       │ исполнение │но на год   │но на       │ исполнение │           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            │            │  отчетный  │  за отч.   │            │  отчетный  │  за отч.   │           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│     │             │            │   период   │   период </w:t>
      </w:r>
      <w:r>
        <w:rPr>
          <w:sz w:val="14"/>
          <w:szCs w:val="14"/>
        </w:rPr>
        <w:t xml:space="preserve">  │            │   период   │   период   │           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┼────────────┼────────────┼────────────┼────────────┼────────────┼────────────┼────────────┤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│     │             │            │            │            │            │            │ </w:t>
      </w:r>
      <w:r>
        <w:rPr>
          <w:sz w:val="14"/>
          <w:szCs w:val="14"/>
        </w:rPr>
        <w:t xml:space="preserve">           │           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┼────────────┼────────────┼────────────┼────────────┼────────────┼────────────┼────────────┤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            │            │            │            │            │            │            │           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├───</w:t>
      </w:r>
      <w:r>
        <w:rPr>
          <w:sz w:val="14"/>
          <w:szCs w:val="14"/>
        </w:rPr>
        <w:t>──┼─────────────┼────────────┼────────────┼────────────┼────────────┼────────────┼────────────┼────────────┤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            │            │            │            │            │            │            │           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└─────┴─────────────┴────────────┴</w:t>
      </w:r>
      <w:r>
        <w:rPr>
          <w:sz w:val="14"/>
          <w:szCs w:val="14"/>
        </w:rPr>
        <w:t>────────────┴────────────┴────────────┴────────────┴────────────┴────────────┘</w:t>
      </w:r>
    </w:p>
    <w:p w:rsidR="00000000" w:rsidRDefault="00CC7B8D"/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Руководитель _______________________________   _________________________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                         (Ф.И.О.)                      (подпись)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Иполнитель ___________________________</w:t>
      </w:r>
      <w:r>
        <w:rPr>
          <w:sz w:val="14"/>
          <w:szCs w:val="14"/>
        </w:rPr>
        <w:t>______   ____________________   _________________________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                      (должность)                     (Ф.И.О.)               (подпись)</w:t>
      </w:r>
    </w:p>
    <w:p w:rsidR="00000000" w:rsidRDefault="00CC7B8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C7B8D">
      <w:pPr>
        <w:pStyle w:val="afa"/>
      </w:pPr>
      <w:r>
        <w:t>По-видимому, в тексте приложения допущена опечатка. Вместо "Иполнитель" имеется в виду "Исполнитель"</w:t>
      </w:r>
    </w:p>
    <w:p w:rsidR="00000000" w:rsidRDefault="00CC7B8D">
      <w:pPr>
        <w:pStyle w:val="afa"/>
      </w:pPr>
    </w:p>
    <w:p w:rsidR="00000000" w:rsidRDefault="00CC7B8D">
      <w:pPr>
        <w:ind w:firstLine="698"/>
        <w:jc w:val="right"/>
      </w:pPr>
      <w:bookmarkStart w:id="45" w:name="sub_1600"/>
      <w:r>
        <w:rPr>
          <w:rStyle w:val="a3"/>
        </w:rPr>
        <w:lastRenderedPageBreak/>
        <w:t>Приложение 6</w:t>
      </w:r>
    </w:p>
    <w:bookmarkEnd w:id="45"/>
    <w:p w:rsidR="00000000" w:rsidRDefault="00CC7B8D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республиканской целевой программе</w:t>
        </w:r>
      </w:hyperlink>
      <w:r>
        <w:rPr>
          <w:rStyle w:val="a3"/>
        </w:rPr>
        <w:t xml:space="preserve"> "Повышение</w:t>
      </w:r>
    </w:p>
    <w:p w:rsidR="00000000" w:rsidRDefault="00CC7B8D">
      <w:pPr>
        <w:ind w:firstLine="698"/>
        <w:jc w:val="right"/>
      </w:pPr>
      <w:r>
        <w:rPr>
          <w:rStyle w:val="a3"/>
        </w:rPr>
        <w:t>устойчивости жилых домов, основных объектов и</w:t>
      </w:r>
    </w:p>
    <w:p w:rsidR="00000000" w:rsidRDefault="00CC7B8D">
      <w:pPr>
        <w:ind w:firstLine="698"/>
        <w:jc w:val="right"/>
      </w:pPr>
      <w:r>
        <w:rPr>
          <w:rStyle w:val="a3"/>
        </w:rPr>
        <w:t>систем жизнеобеспечения на территории Чеченской</w:t>
      </w:r>
    </w:p>
    <w:p w:rsidR="00000000" w:rsidRDefault="00CC7B8D">
      <w:pPr>
        <w:ind w:firstLine="698"/>
        <w:jc w:val="right"/>
      </w:pPr>
      <w:r>
        <w:rPr>
          <w:rStyle w:val="a3"/>
        </w:rPr>
        <w:t>Республики на 2009-2018 годы"</w:t>
      </w:r>
    </w:p>
    <w:p w:rsidR="00000000" w:rsidRDefault="00CC7B8D"/>
    <w:p w:rsidR="00000000" w:rsidRDefault="00CC7B8D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Информация о ходе реализаци</w:t>
      </w:r>
      <w:r>
        <w:rPr>
          <w:rStyle w:val="a3"/>
          <w:sz w:val="20"/>
          <w:szCs w:val="20"/>
        </w:rPr>
        <w:t>и республиканской целевой программы "Повышение устойчивости жилых домов,</w:t>
      </w:r>
    </w:p>
    <w:p w:rsidR="00000000" w:rsidRDefault="00CC7B8D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основных объектов и систем жизнеобеспечения на территории Чеченской Республики на 2009-2018 годы"</w:t>
      </w:r>
    </w:p>
    <w:p w:rsidR="00000000" w:rsidRDefault="00CC7B8D">
      <w:pPr>
        <w:pStyle w:val="aff7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за 20_______г. (отчетный финансовый год)</w:t>
      </w:r>
    </w:p>
    <w:p w:rsidR="00000000" w:rsidRDefault="00CC7B8D"/>
    <w:p w:rsidR="00000000" w:rsidRDefault="00CC7B8D">
      <w:pPr>
        <w:pStyle w:val="aff7"/>
        <w:rPr>
          <w:sz w:val="20"/>
          <w:szCs w:val="20"/>
        </w:rPr>
      </w:pPr>
      <w:r>
        <w:rPr>
          <w:sz w:val="20"/>
          <w:szCs w:val="20"/>
        </w:rPr>
        <w:t>РЦП "Повыше</w:t>
      </w:r>
      <w:r>
        <w:rPr>
          <w:sz w:val="20"/>
          <w:szCs w:val="20"/>
        </w:rPr>
        <w:t>ние  устойчивости жилых домов,  основных объектов и  систем  жизнеобеспечения  на  территории</w:t>
      </w:r>
    </w:p>
    <w:p w:rsidR="00000000" w:rsidRDefault="00CC7B8D">
      <w:pPr>
        <w:pStyle w:val="aff7"/>
        <w:rPr>
          <w:sz w:val="20"/>
          <w:szCs w:val="20"/>
        </w:rPr>
      </w:pPr>
      <w:r>
        <w:rPr>
          <w:sz w:val="20"/>
          <w:szCs w:val="20"/>
        </w:rPr>
        <w:t>Чеченской Республики</w:t>
      </w:r>
    </w:p>
    <w:p w:rsidR="00000000" w:rsidRDefault="00CC7B8D">
      <w:pPr>
        <w:pStyle w:val="aff7"/>
        <w:rPr>
          <w:sz w:val="20"/>
          <w:szCs w:val="20"/>
        </w:rPr>
      </w:pPr>
      <w:r>
        <w:rPr>
          <w:sz w:val="20"/>
          <w:szCs w:val="20"/>
        </w:rPr>
        <w:t>на 2009-2018 годы"</w:t>
      </w:r>
    </w:p>
    <w:p w:rsidR="00000000" w:rsidRDefault="00CC7B8D">
      <w:pPr>
        <w:pStyle w:val="aff7"/>
        <w:rPr>
          <w:sz w:val="20"/>
          <w:szCs w:val="20"/>
        </w:rPr>
      </w:pPr>
      <w:r>
        <w:rPr>
          <w:sz w:val="20"/>
          <w:szCs w:val="20"/>
        </w:rPr>
        <w:t>Министерство жилищно-коммунального хозяйства Чеченской Республики</w:t>
      </w:r>
    </w:p>
    <w:p w:rsidR="00000000" w:rsidRDefault="00CC7B8D"/>
    <w:p w:rsidR="00000000" w:rsidRDefault="00CC7B8D">
      <w:pPr>
        <w:pStyle w:val="aff7"/>
        <w:rPr>
          <w:sz w:val="20"/>
          <w:szCs w:val="20"/>
        </w:rPr>
      </w:pPr>
      <w:r>
        <w:rPr>
          <w:sz w:val="20"/>
          <w:szCs w:val="20"/>
        </w:rPr>
        <w:t>┌─────┬────────────┬───────────────┬─────────────┬─────</w:t>
      </w:r>
      <w:r>
        <w:rPr>
          <w:sz w:val="20"/>
          <w:szCs w:val="20"/>
        </w:rPr>
        <w:t>──────────────────────┬───────────┬─────────────┐</w:t>
      </w:r>
    </w:p>
    <w:p w:rsidR="00000000" w:rsidRDefault="00CC7B8D">
      <w:pPr>
        <w:pStyle w:val="aff7"/>
        <w:rPr>
          <w:sz w:val="20"/>
          <w:szCs w:val="20"/>
        </w:rPr>
      </w:pPr>
      <w:r>
        <w:rPr>
          <w:sz w:val="20"/>
          <w:szCs w:val="20"/>
        </w:rPr>
        <w:t>│N п/п│Наименование│ Наименование  │ Фактическое │     Значение целевых      │  Причины  │    Общие    │</w:t>
      </w:r>
    </w:p>
    <w:p w:rsidR="00000000" w:rsidRDefault="00CC7B8D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│показателей │ мероприятий,  │  значение   │        показателей        │отклонений │произведенн</w:t>
      </w:r>
      <w:r>
        <w:rPr>
          <w:sz w:val="20"/>
          <w:szCs w:val="20"/>
        </w:rPr>
        <w:t>ые│</w:t>
      </w:r>
    </w:p>
    <w:p w:rsidR="00000000" w:rsidRDefault="00CC7B8D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│результатов │обеспечивающих │ показателей ├──────────────┬────────────┤           │ затраты по  │</w:t>
      </w:r>
    </w:p>
    <w:p w:rsidR="00000000" w:rsidRDefault="00CC7B8D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    (ед.    │  достижение   │  на момент  │ предусмотрен-│достигнутые │           │мероприятиям │</w:t>
      </w:r>
    </w:p>
    <w:p w:rsidR="00000000" w:rsidRDefault="00CC7B8D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 измерения) │  результата   │ разра</w:t>
      </w:r>
      <w:r>
        <w:rPr>
          <w:sz w:val="20"/>
          <w:szCs w:val="20"/>
        </w:rPr>
        <w:t>ботки  │ные Программой│            │           │ Программы,  │</w:t>
      </w:r>
    </w:p>
    <w:p w:rsidR="00000000" w:rsidRDefault="00CC7B8D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            │               │  Программы  │              │            │           │  тыс. руб.  │</w:t>
      </w:r>
    </w:p>
    <w:p w:rsidR="00000000" w:rsidRDefault="00CC7B8D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├─────┼────────────┼───────────────┼─────────────┼──────────────┼────────────┼──────────</w:t>
      </w:r>
      <w:r>
        <w:rPr>
          <w:sz w:val="20"/>
          <w:szCs w:val="20"/>
        </w:rPr>
        <w:t>─┼─────────────┤</w:t>
      </w:r>
    </w:p>
    <w:p w:rsidR="00000000" w:rsidRDefault="00CC7B8D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│            │               │             │              │            │           │             │</w:t>
      </w:r>
    </w:p>
    <w:p w:rsidR="00000000" w:rsidRDefault="00CC7B8D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┼────────────┼───────────────┼─────────────┼──────────────┼────────────┼───────────┼─────────────┤</w:t>
      </w:r>
    </w:p>
    <w:p w:rsidR="00000000" w:rsidRDefault="00CC7B8D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│            │         </w:t>
      </w:r>
      <w:r>
        <w:rPr>
          <w:sz w:val="20"/>
          <w:szCs w:val="20"/>
        </w:rPr>
        <w:t xml:space="preserve">      │             │              │            │           │             │</w:t>
      </w:r>
    </w:p>
    <w:p w:rsidR="00000000" w:rsidRDefault="00CC7B8D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┼────────────┼───────────────┼─────────────┼──────────────┼────────────┼───────────┼─────────────┤</w:t>
      </w:r>
    </w:p>
    <w:p w:rsidR="00000000" w:rsidRDefault="00CC7B8D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│            │               │             │              │          </w:t>
      </w:r>
      <w:r>
        <w:rPr>
          <w:sz w:val="20"/>
          <w:szCs w:val="20"/>
        </w:rPr>
        <w:t xml:space="preserve">  │           │             │</w:t>
      </w:r>
    </w:p>
    <w:p w:rsidR="00000000" w:rsidRDefault="00CC7B8D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┴────────────┴───────────────┴─────────────┴──────────────┴────────────┴───────────┼─────────────┤</w:t>
      </w:r>
    </w:p>
    <w:p w:rsidR="00000000" w:rsidRDefault="00CC7B8D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                                      │             │</w:t>
      </w:r>
    </w:p>
    <w:p w:rsidR="00000000" w:rsidRDefault="00CC7B8D">
      <w:pPr>
        <w:pStyle w:val="aff7"/>
        <w:rPr>
          <w:sz w:val="20"/>
          <w:szCs w:val="20"/>
        </w:rPr>
      </w:pPr>
      <w:r>
        <w:rPr>
          <w:sz w:val="20"/>
          <w:szCs w:val="20"/>
        </w:rPr>
        <w:t>└───────────────</w:t>
      </w:r>
      <w:r>
        <w:rPr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─────────────────────────────────────────────────────────────────────────┴─────────────┘</w:t>
      </w:r>
    </w:p>
    <w:p w:rsidR="00000000" w:rsidRDefault="00CC7B8D"/>
    <w:p w:rsidR="00000000" w:rsidRDefault="00CC7B8D">
      <w:pPr>
        <w:pStyle w:val="aff7"/>
        <w:rPr>
          <w:sz w:val="20"/>
          <w:szCs w:val="20"/>
        </w:rPr>
      </w:pPr>
      <w:r>
        <w:rPr>
          <w:sz w:val="20"/>
          <w:szCs w:val="20"/>
        </w:rPr>
        <w:t>Руководитель _______________________________________   _______________________________________</w:t>
      </w:r>
    </w:p>
    <w:p w:rsidR="00000000" w:rsidRDefault="00CC7B8D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(Ф.И.О.)                                (подп</w:t>
      </w:r>
      <w:r>
        <w:rPr>
          <w:sz w:val="20"/>
          <w:szCs w:val="20"/>
        </w:rPr>
        <w:t>ись)</w:t>
      </w:r>
    </w:p>
    <w:p w:rsidR="00000000" w:rsidRDefault="00CC7B8D">
      <w:pPr>
        <w:pStyle w:val="aff7"/>
        <w:rPr>
          <w:sz w:val="20"/>
          <w:szCs w:val="20"/>
        </w:rPr>
      </w:pPr>
      <w:r>
        <w:rPr>
          <w:sz w:val="20"/>
          <w:szCs w:val="20"/>
        </w:rPr>
        <w:t>Исполнитель ___________________________   ___________________________</w:t>
      </w:r>
    </w:p>
    <w:p w:rsidR="00000000" w:rsidRDefault="00CC7B8D">
      <w:pPr>
        <w:pStyle w:val="aff7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000000" w:rsidRDefault="00CC7B8D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(должность)        (Ф.И.О.)               (подпись)</w:t>
      </w:r>
    </w:p>
    <w:p w:rsidR="00000000" w:rsidRDefault="00CC7B8D"/>
    <w:p w:rsidR="00000000" w:rsidRDefault="00CC7B8D">
      <w:pPr>
        <w:ind w:firstLine="698"/>
        <w:jc w:val="right"/>
      </w:pPr>
      <w:bookmarkStart w:id="46" w:name="sub_1700"/>
      <w:r>
        <w:rPr>
          <w:rStyle w:val="a3"/>
        </w:rPr>
        <w:t>Приложение 7</w:t>
      </w:r>
    </w:p>
    <w:bookmarkEnd w:id="46"/>
    <w:p w:rsidR="00000000" w:rsidRDefault="00CC7B8D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республиканской целевой программе</w:t>
        </w:r>
      </w:hyperlink>
      <w:r>
        <w:rPr>
          <w:rStyle w:val="a3"/>
        </w:rPr>
        <w:t xml:space="preserve"> </w:t>
      </w:r>
      <w:r>
        <w:rPr>
          <w:rStyle w:val="a3"/>
        </w:rPr>
        <w:t>"Повышение</w:t>
      </w:r>
    </w:p>
    <w:p w:rsidR="00000000" w:rsidRDefault="00CC7B8D">
      <w:pPr>
        <w:ind w:firstLine="698"/>
        <w:jc w:val="right"/>
      </w:pPr>
      <w:r>
        <w:rPr>
          <w:rStyle w:val="a3"/>
        </w:rPr>
        <w:t>устойчивости жилых домов, основных объектов и</w:t>
      </w:r>
    </w:p>
    <w:p w:rsidR="00000000" w:rsidRDefault="00CC7B8D">
      <w:pPr>
        <w:ind w:firstLine="698"/>
        <w:jc w:val="right"/>
      </w:pPr>
      <w:r>
        <w:rPr>
          <w:rStyle w:val="a3"/>
        </w:rPr>
        <w:t>систем жизнеобеспечения на территории Чеченской</w:t>
      </w:r>
    </w:p>
    <w:p w:rsidR="00000000" w:rsidRDefault="00CC7B8D">
      <w:pPr>
        <w:ind w:firstLine="698"/>
        <w:jc w:val="right"/>
      </w:pPr>
      <w:r>
        <w:rPr>
          <w:rStyle w:val="a3"/>
        </w:rPr>
        <w:t>Республики на 2009-2018 годы"</w:t>
      </w:r>
    </w:p>
    <w:p w:rsidR="00000000" w:rsidRDefault="00CC7B8D"/>
    <w:p w:rsidR="00000000" w:rsidRDefault="00CC7B8D">
      <w:pPr>
        <w:pStyle w:val="aff7"/>
        <w:rPr>
          <w:sz w:val="14"/>
          <w:szCs w:val="14"/>
        </w:rPr>
      </w:pPr>
      <w:r>
        <w:rPr>
          <w:rStyle w:val="a3"/>
          <w:sz w:val="14"/>
          <w:szCs w:val="14"/>
        </w:rPr>
        <w:t xml:space="preserve">            Итоговая информация о ходе реализации мероприятий республиканской целевой программы "Повышение устойчивости </w:t>
      </w:r>
      <w:r>
        <w:rPr>
          <w:rStyle w:val="a3"/>
          <w:sz w:val="14"/>
          <w:szCs w:val="14"/>
        </w:rPr>
        <w:t>жилых домов,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rStyle w:val="a3"/>
          <w:sz w:val="14"/>
          <w:szCs w:val="14"/>
        </w:rPr>
        <w:t xml:space="preserve">                     основных объектов и систем жизнеобеспечения на территории Чеченской Республики на 2009-2018 годы" и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rStyle w:val="a3"/>
          <w:sz w:val="14"/>
          <w:szCs w:val="14"/>
        </w:rPr>
        <w:t xml:space="preserve">                                                        эффективности использования</w:t>
      </w:r>
    </w:p>
    <w:p w:rsidR="00000000" w:rsidRDefault="00CC7B8D"/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РЦП "Повышение устойчивости жилых дом</w:t>
      </w:r>
      <w:r>
        <w:rPr>
          <w:sz w:val="14"/>
          <w:szCs w:val="14"/>
        </w:rPr>
        <w:t>ов, основных объектов и систем жизнеобеспечения на территории Чеченской Республики на 2009-2018 годы"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Министерство жилищно-коммунального хозяйства Чеченской Республики</w:t>
      </w:r>
    </w:p>
    <w:p w:rsidR="00000000" w:rsidRDefault="00CC7B8D"/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┌─────┬────────────┬─────────────┬────────────┬────────────────────────────────────────</w:t>
      </w:r>
      <w:r>
        <w:rPr>
          <w:sz w:val="14"/>
          <w:szCs w:val="14"/>
        </w:rPr>
        <w:t>─┬─────────────────────────────────────────┐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│N п/п│Наименование│Наименование │Фактическое │    Планируемые значения показателей     │ Фактически достигнутые значения целевых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│     │показателей │мероприятий, │  значение  │                                </w:t>
      </w:r>
      <w:r>
        <w:rPr>
          <w:sz w:val="14"/>
          <w:szCs w:val="14"/>
        </w:rPr>
        <w:t xml:space="preserve">         │               показателей              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│результатов │ обеспечиваю-│показателей ├─────┬─────┬─────┬─────┬─────┬─────┬─────┼─────┬─────┬─────┬─────┬─────┬─────┬─────┤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   (ед.    │щих          │ на момент  │2012 │2013 │2014 │2015 │</w:t>
      </w:r>
      <w:r>
        <w:rPr>
          <w:sz w:val="14"/>
          <w:szCs w:val="14"/>
        </w:rPr>
        <w:t>2016 │2017 │2018 │2012 │2013 │2014 │2015 │2016 │2017 │2018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измерения) │ достижение  │ разработки │     │     │     │     │     │     │     │     │     │     │     │     │     │    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│     │            │ результатов │ программы  │     │     │    </w:t>
      </w:r>
      <w:r>
        <w:rPr>
          <w:sz w:val="14"/>
          <w:szCs w:val="14"/>
        </w:rPr>
        <w:t xml:space="preserve"> │     │     │     │     │     │     │     │     │     │     │    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┼─────────────┼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│     │            │             │            │     │  </w:t>
      </w:r>
      <w:r>
        <w:rPr>
          <w:sz w:val="14"/>
          <w:szCs w:val="14"/>
        </w:rPr>
        <w:t xml:space="preserve">   │     │     │     │     │     │     │     │     │     │     │     │    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┼─────────────┼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           │             │            │</w:t>
      </w:r>
      <w:r>
        <w:rPr>
          <w:sz w:val="14"/>
          <w:szCs w:val="14"/>
        </w:rPr>
        <w:t xml:space="preserve">     │     │     │     │     │     │     │     │     │     │     │     │     │    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┼─────────────┼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│     │            │             │     </w:t>
      </w:r>
      <w:r>
        <w:rPr>
          <w:sz w:val="14"/>
          <w:szCs w:val="14"/>
        </w:rPr>
        <w:t xml:space="preserve">       │     │     │     │     │     │     │     │     │     │     │     │     │     │    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└─────┴────────────┴─────────────┴────────────┴─────┴─────┴─────┴─────┴─────┴─────┴─────┴─────┴─────┴─────┴─────┴─────┴─────┴─────┘</w:t>
      </w:r>
    </w:p>
    <w:p w:rsidR="00000000" w:rsidRDefault="00CC7B8D"/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┌─────┬────────────┬──────────</w:t>
      </w:r>
      <w:r>
        <w:rPr>
          <w:sz w:val="14"/>
          <w:szCs w:val="14"/>
        </w:rPr>
        <w:t>───┬────────────┬─────────────────────────────────────────┬─────────────────────────────────────────┬────────────┐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│N п/п│Наименование│Наименование │Фактическое │     Финансирование, предусмотренное     │     Общие произведенные затраты по      │ Источники</w:t>
      </w:r>
      <w:r>
        <w:rPr>
          <w:sz w:val="14"/>
          <w:szCs w:val="14"/>
        </w:rPr>
        <w:t xml:space="preserve"> 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│показателей │мероприятий, │  значение  │  программой на реализацию мероприятий,  │    мероприятиям Программы, тыс. руб.    │финансирова-│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│     │результатов │обеспечиваю- │показателей │               тыс. рублей               │                  </w:t>
      </w:r>
      <w:r>
        <w:rPr>
          <w:sz w:val="14"/>
          <w:szCs w:val="14"/>
        </w:rPr>
        <w:t xml:space="preserve">                       │ния        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   (ед.    │щих          │ на момент  ├─────┬─────┬─────┬─────┬─────┬─────┬─────┼─────┬─────┬─────┬─────┬─────┬─────┬─────┼────────────┤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измерения) │ достижение  │ разработки │2012 │2013 │2014 │2015 │20</w:t>
      </w:r>
      <w:r>
        <w:rPr>
          <w:sz w:val="14"/>
          <w:szCs w:val="14"/>
        </w:rPr>
        <w:t>16 │2017 │2018 │2012 │2013 │2014 │2015 │2016 │2017 │2018 │           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           │ результатов │ программы  │     │     │     │     │     │     │     │     │     │     │     │     │     │     │           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├─────┼────────────┼─────────────┼─────</w:t>
      </w:r>
      <w:r>
        <w:rPr>
          <w:sz w:val="14"/>
          <w:szCs w:val="14"/>
        </w:rPr>
        <w:t>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─┤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│     │            │             │            │     │     │     │     │     │     │     │     │     │     │     │     │     │     │           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├────</w:t>
      </w:r>
      <w:r>
        <w:rPr>
          <w:sz w:val="14"/>
          <w:szCs w:val="14"/>
        </w:rPr>
        <w:t>─┼────────────┼─────────────┼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─┤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│     │            │             │            │     │     │     │     │     │     │     │     │     │     │     │   </w:t>
      </w:r>
      <w:r>
        <w:rPr>
          <w:sz w:val="14"/>
          <w:szCs w:val="14"/>
        </w:rPr>
        <w:t xml:space="preserve">  │     │     │           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┼─────────────┼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─┤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│     │            │             │            │     │     │     │     │     │     </w:t>
      </w:r>
      <w:r>
        <w:rPr>
          <w:sz w:val="14"/>
          <w:szCs w:val="14"/>
        </w:rPr>
        <w:t>│     │     │     │     │     │     │     │     │            │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└─────┴────────────┴─────────────┴───────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───────┘</w:t>
      </w:r>
    </w:p>
    <w:p w:rsidR="00000000" w:rsidRDefault="00CC7B8D"/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Руководитель _______________________________   </w:t>
      </w:r>
      <w:r>
        <w:rPr>
          <w:sz w:val="14"/>
          <w:szCs w:val="14"/>
        </w:rPr>
        <w:t>_________________________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                         (Ф.И.О.)                      (подпись)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>Исполнитель _________________________________   ____________________   _________________________</w:t>
      </w:r>
    </w:p>
    <w:p w:rsidR="00000000" w:rsidRDefault="00CC7B8D">
      <w:pPr>
        <w:pStyle w:val="aff7"/>
        <w:rPr>
          <w:sz w:val="14"/>
          <w:szCs w:val="14"/>
        </w:rPr>
      </w:pPr>
      <w:r>
        <w:rPr>
          <w:sz w:val="14"/>
          <w:szCs w:val="14"/>
        </w:rPr>
        <w:t xml:space="preserve">                      (должность)                     (Ф.И.О.)      </w:t>
      </w:r>
      <w:r>
        <w:rPr>
          <w:sz w:val="14"/>
          <w:szCs w:val="14"/>
        </w:rPr>
        <w:t xml:space="preserve">         (подпись)</w:t>
      </w:r>
    </w:p>
    <w:p w:rsidR="00CC7B8D" w:rsidRDefault="00CC7B8D"/>
    <w:sectPr w:rsidR="00CC7B8D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0E"/>
    <w:rsid w:val="0083080E"/>
    <w:rsid w:val="00CC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912207.0" TargetMode="External"/><Relationship Id="rId13" Type="http://schemas.openxmlformats.org/officeDocument/2006/relationships/hyperlink" Target="garantF1://35912207.0" TargetMode="External"/><Relationship Id="rId18" Type="http://schemas.openxmlformats.org/officeDocument/2006/relationships/hyperlink" Target="garantF1://2206407.200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35913579.0" TargetMode="External"/><Relationship Id="rId7" Type="http://schemas.openxmlformats.org/officeDocument/2006/relationships/hyperlink" Target="garantF1://35812207.40" TargetMode="External"/><Relationship Id="rId12" Type="http://schemas.openxmlformats.org/officeDocument/2006/relationships/hyperlink" Target="garantF1://35812207.40" TargetMode="External"/><Relationship Id="rId17" Type="http://schemas.openxmlformats.org/officeDocument/2006/relationships/hyperlink" Target="garantF1://2206407.0" TargetMode="External"/><Relationship Id="rId25" Type="http://schemas.openxmlformats.org/officeDocument/2006/relationships/hyperlink" Target="garantF1://35913579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2206407.2000" TargetMode="External"/><Relationship Id="rId20" Type="http://schemas.openxmlformats.org/officeDocument/2006/relationships/hyperlink" Target="garantF1://35813579.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5912207.0" TargetMode="External"/><Relationship Id="rId11" Type="http://schemas.openxmlformats.org/officeDocument/2006/relationships/hyperlink" Target="garantF1://35901618.0" TargetMode="External"/><Relationship Id="rId24" Type="http://schemas.openxmlformats.org/officeDocument/2006/relationships/hyperlink" Target="garantF1://35813579.3" TargetMode="External"/><Relationship Id="rId5" Type="http://schemas.openxmlformats.org/officeDocument/2006/relationships/hyperlink" Target="garantF1://35812207.40" TargetMode="External"/><Relationship Id="rId15" Type="http://schemas.openxmlformats.org/officeDocument/2006/relationships/hyperlink" Target="garantF1://35913579.0" TargetMode="External"/><Relationship Id="rId23" Type="http://schemas.openxmlformats.org/officeDocument/2006/relationships/hyperlink" Target="garantF1://35913579.0" TargetMode="External"/><Relationship Id="rId10" Type="http://schemas.openxmlformats.org/officeDocument/2006/relationships/hyperlink" Target="garantF1://35912207.0" TargetMode="External"/><Relationship Id="rId19" Type="http://schemas.openxmlformats.org/officeDocument/2006/relationships/hyperlink" Target="garantF1://12041175.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5812207.40" TargetMode="External"/><Relationship Id="rId14" Type="http://schemas.openxmlformats.org/officeDocument/2006/relationships/hyperlink" Target="garantF1://35813579.3" TargetMode="External"/><Relationship Id="rId22" Type="http://schemas.openxmlformats.org/officeDocument/2006/relationships/hyperlink" Target="garantF1://35813579.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7354</Words>
  <Characters>41922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Buvaisar-PC</cp:lastModifiedBy>
  <cp:revision>2</cp:revision>
  <dcterms:created xsi:type="dcterms:W3CDTF">2014-08-05T11:19:00Z</dcterms:created>
  <dcterms:modified xsi:type="dcterms:W3CDTF">2014-08-05T11:19:00Z</dcterms:modified>
</cp:coreProperties>
</file>