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40F" w:rsidRDefault="00B6440F">
      <w:pPr>
        <w:pStyle w:val="1"/>
      </w:pPr>
      <w:r>
        <w:fldChar w:fldCharType="begin"/>
      </w:r>
      <w:r>
        <w:instrText>HYPERLINK "garantF1://2207421.0"</w:instrText>
      </w:r>
      <w:r>
        <w:fldChar w:fldCharType="separate"/>
      </w:r>
      <w:r>
        <w:rPr>
          <w:rStyle w:val="a4"/>
          <w:rFonts w:cs="Arial"/>
        </w:rPr>
        <w:t>Приказ Министерства регионального развития РФ от 10 октября 2007 г. N 99</w:t>
      </w:r>
      <w:r>
        <w:rPr>
          <w:rStyle w:val="a4"/>
          <w:rFonts w:cs="Arial"/>
        </w:rPr>
        <w:br/>
        <w:t>"Об утверждении Методических рекомендаций по разработке инвестиционных программ организаций коммунального комплекса"</w:t>
      </w:r>
      <w:r>
        <w:fldChar w:fldCharType="end"/>
      </w:r>
    </w:p>
    <w:p w:rsidR="00B6440F" w:rsidRDefault="00B6440F"/>
    <w:p w:rsidR="00B6440F" w:rsidRDefault="00B6440F">
      <w:r>
        <w:t xml:space="preserve">В соответствии с </w:t>
      </w:r>
      <w:hyperlink r:id="rId5" w:history="1">
        <w:r>
          <w:rPr>
            <w:rStyle w:val="a4"/>
            <w:rFonts w:cs="Arial"/>
          </w:rPr>
          <w:t>Федеральным 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1), ст. 36; 26.12.2005, N 52 (1 ч.), ст. 5597; 01.01.2007, N 1 (1 ч.), ст. 21), в целях методического обеспечения деятельности органов местного самоуправления по разработке инвестиционных программ организаций коммунального комплекса, приказываю:</w:t>
      </w:r>
    </w:p>
    <w:p w:rsidR="00B6440F" w:rsidRDefault="00B6440F">
      <w:bookmarkStart w:id="1" w:name="sub_1"/>
      <w:r>
        <w:t xml:space="preserve">1. Утвердить прилагаемые </w:t>
      </w:r>
      <w:hyperlink w:anchor="sub_1000" w:history="1">
        <w:r>
          <w:rPr>
            <w:rStyle w:val="a4"/>
            <w:rFonts w:cs="Arial"/>
          </w:rPr>
          <w:t>Методические рекомендации</w:t>
        </w:r>
      </w:hyperlink>
      <w:r>
        <w:t xml:space="preserve"> по разработке инвестиционных программ организаций коммунального комплекса (далее - Методические рекомендации).</w:t>
      </w:r>
    </w:p>
    <w:p w:rsidR="00B6440F" w:rsidRDefault="00B6440F">
      <w:bookmarkStart w:id="2" w:name="sub_2"/>
      <w:bookmarkEnd w:id="1"/>
      <w:r>
        <w:t xml:space="preserve">2. Установить, что разъяснения по применению </w:t>
      </w:r>
      <w:hyperlink w:anchor="sub_1000" w:history="1">
        <w:r>
          <w:rPr>
            <w:rStyle w:val="a4"/>
            <w:rFonts w:cs="Arial"/>
          </w:rPr>
          <w:t>Методических рекомендаций</w:t>
        </w:r>
      </w:hyperlink>
      <w:r>
        <w:t xml:space="preserve"> дает Департамент жилищно-коммунального хозяйства Министерства регионального развития Российской Федерации.</w:t>
      </w:r>
    </w:p>
    <w:bookmarkEnd w:id="2"/>
    <w:p w:rsidR="00B6440F" w:rsidRDefault="00B6440F"/>
    <w:tbl>
      <w:tblPr>
        <w:tblW w:w="0" w:type="auto"/>
        <w:tblInd w:w="108" w:type="dxa"/>
        <w:tblLook w:val="0000" w:firstRow="0" w:lastRow="0" w:firstColumn="0" w:lastColumn="0" w:noHBand="0" w:noVBand="0"/>
      </w:tblPr>
      <w:tblGrid>
        <w:gridCol w:w="6667"/>
        <w:gridCol w:w="3332"/>
      </w:tblGrid>
      <w:tr w:rsidR="00B6440F">
        <w:tblPrEx>
          <w:tblCellMar>
            <w:top w:w="0" w:type="dxa"/>
            <w:bottom w:w="0" w:type="dxa"/>
          </w:tblCellMar>
        </w:tblPrEx>
        <w:tc>
          <w:tcPr>
            <w:tcW w:w="6667" w:type="dxa"/>
            <w:tcBorders>
              <w:top w:val="nil"/>
              <w:left w:val="nil"/>
              <w:bottom w:val="nil"/>
              <w:right w:val="nil"/>
            </w:tcBorders>
          </w:tcPr>
          <w:p w:rsidR="00B6440F" w:rsidRDefault="00B6440F">
            <w:pPr>
              <w:pStyle w:val="afff"/>
            </w:pPr>
            <w:r>
              <w:t>Министр</w:t>
            </w:r>
          </w:p>
        </w:tc>
        <w:tc>
          <w:tcPr>
            <w:tcW w:w="3332" w:type="dxa"/>
            <w:tcBorders>
              <w:top w:val="nil"/>
              <w:left w:val="nil"/>
              <w:bottom w:val="nil"/>
              <w:right w:val="nil"/>
            </w:tcBorders>
          </w:tcPr>
          <w:p w:rsidR="00B6440F" w:rsidRDefault="00B6440F">
            <w:pPr>
              <w:pStyle w:val="aff6"/>
              <w:jc w:val="right"/>
            </w:pPr>
            <w:r>
              <w:t>Д.Н. Козак</w:t>
            </w:r>
          </w:p>
          <w:p w:rsidR="00B6440F" w:rsidRDefault="00B6440F">
            <w:pPr>
              <w:pStyle w:val="aff6"/>
            </w:pPr>
          </w:p>
        </w:tc>
      </w:tr>
    </w:tbl>
    <w:p w:rsidR="00B6440F" w:rsidRDefault="00B6440F"/>
    <w:p w:rsidR="00B6440F" w:rsidRDefault="00B6440F">
      <w:pPr>
        <w:ind w:firstLine="698"/>
        <w:jc w:val="right"/>
      </w:pPr>
      <w:bookmarkStart w:id="3" w:name="sub_1000"/>
      <w:r>
        <w:rPr>
          <w:rStyle w:val="a3"/>
          <w:bCs/>
        </w:rPr>
        <w:t>Приложение</w:t>
      </w:r>
      <w:r>
        <w:rPr>
          <w:rStyle w:val="a3"/>
          <w:bCs/>
        </w:rPr>
        <w:br/>
        <w:t xml:space="preserve">к </w:t>
      </w:r>
      <w:hyperlink w:anchor="sub_0" w:history="1">
        <w:r>
          <w:rPr>
            <w:rStyle w:val="a4"/>
            <w:rFonts w:cs="Arial"/>
            <w:b/>
            <w:bCs/>
          </w:rPr>
          <w:t>приказу</w:t>
        </w:r>
      </w:hyperlink>
      <w:r>
        <w:rPr>
          <w:rStyle w:val="a3"/>
          <w:bCs/>
        </w:rPr>
        <w:t xml:space="preserve"> Министерства регионального развития РФ</w:t>
      </w:r>
      <w:r>
        <w:rPr>
          <w:rStyle w:val="a3"/>
          <w:bCs/>
        </w:rPr>
        <w:br/>
        <w:t>от 10 октября 2007 г. N 99</w:t>
      </w:r>
    </w:p>
    <w:bookmarkEnd w:id="3"/>
    <w:p w:rsidR="00B6440F" w:rsidRDefault="00B6440F"/>
    <w:p w:rsidR="00B6440F" w:rsidRDefault="00B6440F">
      <w:pPr>
        <w:pStyle w:val="1"/>
      </w:pPr>
      <w:r>
        <w:t>Методические рекомендации по разработке инвестиционных программ организаций коммунального комплекса</w:t>
      </w:r>
    </w:p>
    <w:p w:rsidR="00B6440F" w:rsidRDefault="00B6440F">
      <w:pPr>
        <w:pStyle w:val="afa"/>
        <w:rPr>
          <w:color w:val="000000"/>
          <w:sz w:val="16"/>
          <w:szCs w:val="16"/>
        </w:rPr>
      </w:pPr>
      <w:r>
        <w:rPr>
          <w:color w:val="000000"/>
          <w:sz w:val="16"/>
          <w:szCs w:val="16"/>
        </w:rPr>
        <w:t>ГАРАНТ:</w:t>
      </w:r>
    </w:p>
    <w:p w:rsidR="00B6440F" w:rsidRDefault="00B6440F">
      <w:pPr>
        <w:pStyle w:val="afa"/>
      </w:pPr>
      <w:bookmarkStart w:id="4" w:name="sub_483508856"/>
      <w:r>
        <w:t xml:space="preserve">См. также </w:t>
      </w:r>
      <w:hyperlink r:id="rId6" w:history="1">
        <w:r>
          <w:rPr>
            <w:rStyle w:val="a4"/>
            <w:rFonts w:cs="Arial"/>
          </w:rPr>
          <w:t>Методические рекомендации</w:t>
        </w:r>
      </w:hyperlink>
      <w:r>
        <w:t xml:space="preserve"> по подготовке технических заданий по разработке инвестиционных программ организаций коммунального комплекса, утвержденные </w:t>
      </w:r>
      <w:hyperlink r:id="rId7" w:history="1">
        <w:r>
          <w:rPr>
            <w:rStyle w:val="a4"/>
            <w:rFonts w:cs="Arial"/>
          </w:rPr>
          <w:t>приказом</w:t>
        </w:r>
      </w:hyperlink>
      <w:r>
        <w:t xml:space="preserve"> Министерства регионального развития РФ от 10 октября 2007 г. N 100</w:t>
      </w:r>
    </w:p>
    <w:bookmarkEnd w:id="4"/>
    <w:p w:rsidR="00B6440F" w:rsidRDefault="00B6440F">
      <w:pPr>
        <w:pStyle w:val="afa"/>
      </w:pPr>
    </w:p>
    <w:p w:rsidR="00B6440F" w:rsidRDefault="00B6440F">
      <w:bookmarkStart w:id="5" w:name="sub_1001"/>
      <w:r>
        <w:t xml:space="preserve">1. Настоящие Методические рекомендации по разработке инвестиционных программ организаций коммунального комплекса подготовлены на основании </w:t>
      </w:r>
      <w:hyperlink r:id="rId8" w:history="1">
        <w:r>
          <w:rPr>
            <w:rStyle w:val="a4"/>
            <w:rFonts w:cs="Arial"/>
          </w:rPr>
          <w:t>Федерального закона</w:t>
        </w:r>
      </w:hyperlink>
      <w:r>
        <w:t xml:space="preserve"> от 30 декабря 2004 г. N 210-ФЗ "Об основах регулирования тарифов организаций коммунального комплекса" (далее - Федеральный закон от 30 декабря 2004 г. N 210-ФЗ) (Собрание законодательства Российской Федерации 03.01.2005, N 1 (часть 1), ст. 36; 26.12.2005, N 52 (1 ч.), ст. 5597; 01.01.2007, N 1 (1 ч.), ст. 21), в целях методического обеспечения деятельности органов местного самоуправления, а также оказания им практической помощи в части перехода к перспективному развитию систем коммунальной инфраструктуры на основе инвестиционных программ.</w:t>
      </w:r>
    </w:p>
    <w:bookmarkEnd w:id="5"/>
    <w:p w:rsidR="00B6440F" w:rsidRDefault="00B6440F">
      <w:r>
        <w:t>В настоящих Методических рекомендациях рассматриваются вопросы, касающиеся порядка и условий разработки и утверждения инвестиционных программ организаций коммунального комплекса.</w:t>
      </w:r>
    </w:p>
    <w:p w:rsidR="00B6440F" w:rsidRDefault="00B6440F">
      <w:bookmarkStart w:id="6" w:name="sub_1002"/>
      <w:r>
        <w:t xml:space="preserve">2. Методические рекомендации предназначены для использования органами местного самоуправления и организациями коммунального комплекса, разрабатывающими инвестиционные программы организаций коммунального комплекса </w:t>
      </w:r>
      <w:r>
        <w:lastRenderedPageBreak/>
        <w:t>(далее - инвестиционная программа).</w:t>
      </w:r>
    </w:p>
    <w:p w:rsidR="00B6440F" w:rsidRDefault="00B6440F">
      <w:bookmarkStart w:id="7" w:name="sub_1003"/>
      <w:bookmarkEnd w:id="6"/>
      <w:r>
        <w:t>3. На основании настоящих Методических рекомендаций органы местного самоуправления могут определять порядок и условия разработки инвестиционных программ организаций коммунального комплекса с учетом местных особенностей и муниципальных правовых актов.</w:t>
      </w:r>
    </w:p>
    <w:p w:rsidR="00B6440F" w:rsidRDefault="00B6440F">
      <w:bookmarkStart w:id="8" w:name="sub_1004"/>
      <w:bookmarkEnd w:id="7"/>
      <w:r>
        <w:t xml:space="preserve">4. Инвестиционная программа в соответствие с </w:t>
      </w:r>
      <w:hyperlink r:id="rId9" w:history="1">
        <w:r>
          <w:rPr>
            <w:rStyle w:val="a4"/>
            <w:rFonts w:cs="Arial"/>
          </w:rPr>
          <w:t>подпунктом 6 части 1 статьи 2</w:t>
        </w:r>
      </w:hyperlink>
      <w:r>
        <w:t xml:space="preserve"> Федерального закона от 30 декабря 2004 г. N 210-ФЗ разрабатывается в целях реализации программы комплексного развития как программа финансирования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муниципального образования. Задачи инвестиционной программы рекомендуется формулировать на основании условий, определенных техническим заданием на разработку инвестиционной программы.</w:t>
      </w:r>
    </w:p>
    <w:p w:rsidR="00B6440F" w:rsidRDefault="00B6440F">
      <w:bookmarkStart w:id="9" w:name="sub_1005"/>
      <w:bookmarkEnd w:id="8"/>
      <w:r>
        <w:t>5. Инвестиционные программы разрабатываются организациями коммунального комплекса, осуществляющими эксплуатацию систем (системы) коммунальной инфраструктуры муниципального образования, используемых (используемой) для производства товаров (оказания услуг) в целях обеспечения электро-, тепло-, водоснабжения, водоотведения и очистки сточных вод, и объектов, используемых для утилизации (захоронения) твердых бытовых отходов.</w:t>
      </w:r>
    </w:p>
    <w:bookmarkEnd w:id="9"/>
    <w:p w:rsidR="00B6440F" w:rsidRDefault="00B6440F">
      <w:r>
        <w:t xml:space="preserve">Инвестиционная программа разрабатывается на основании </w:t>
      </w:r>
      <w:hyperlink r:id="rId10" w:history="1">
        <w:r>
          <w:rPr>
            <w:rStyle w:val="a4"/>
            <w:rFonts w:cs="Arial"/>
          </w:rPr>
          <w:t>Федерального закона</w:t>
        </w:r>
      </w:hyperlink>
      <w:r>
        <w:t xml:space="preserve"> от 30 декабря 2004 г. N 210-ФЗ, условий технического задания на разработку инвестиционной программы (далее - техническое задание), утверждаемого главой муниципального образования в соответствии с программой комплексного развития систем коммунальной инфраструктуры муниципального образования (далее - программа комплексного развития). В случае отсутствия программы комплексного развития инвестиционная программа разрабатывается на основании условий технического задания, утверждаемого представительным органом муниципального образования.</w:t>
      </w:r>
    </w:p>
    <w:p w:rsidR="00B6440F" w:rsidRDefault="00B6440F">
      <w:bookmarkStart w:id="10" w:name="sub_1006"/>
      <w:r>
        <w:t>6. Инвестиционную программу рекомендуется разрабатывать отдельно для каждой системы коммунальной инфраструктуры; водоснабжение, водоотведение и очистка сточных вод, теплоснабжение, электроснабжение, а также для объектов, используемых для утилизации (захоронения) твердых бытовых отходов.</w:t>
      </w:r>
    </w:p>
    <w:p w:rsidR="00B6440F" w:rsidRDefault="00B6440F">
      <w:bookmarkStart w:id="11" w:name="sub_1007"/>
      <w:bookmarkEnd w:id="10"/>
      <w:r>
        <w:t>7. В случае если эксплуатация системы коммунальной инфраструктуры и объектов, используемых для утилизации (захоронения) твердых бытовых отходов, осуществляется несколькими организациями коммунального комплекса, инвестиционную программу рекомендуется разрабатывать индивидуально каждой организации коммунального комплекса, осуществляющей эксплуатацию указанных систем и объектов.</w:t>
      </w:r>
    </w:p>
    <w:p w:rsidR="00B6440F" w:rsidRDefault="00B6440F">
      <w:bookmarkStart w:id="12" w:name="sub_1008"/>
      <w:bookmarkEnd w:id="11"/>
      <w:r>
        <w:t>8. Содержание и структура инвестиционной программы определяется техническим заданием на ее разработку. Инвестиционная программа может состоять из описательной, табличной и графической частей.</w:t>
      </w:r>
    </w:p>
    <w:p w:rsidR="00B6440F" w:rsidRDefault="00B6440F">
      <w:bookmarkStart w:id="13" w:name="sub_1009"/>
      <w:bookmarkEnd w:id="12"/>
      <w:r>
        <w:t>9. В инвестиционную программу рекомендуется включать:</w:t>
      </w:r>
    </w:p>
    <w:bookmarkEnd w:id="13"/>
    <w:p w:rsidR="00B6440F" w:rsidRDefault="00B6440F">
      <w:r>
        <w:t>- цели и задачи инвестиционной программы;</w:t>
      </w:r>
    </w:p>
    <w:p w:rsidR="00B6440F" w:rsidRDefault="00B6440F">
      <w:r>
        <w:t>- анализ существующего состояния систем коммунальной инфраструктуры и объектов, используемых для утилизации (захоронения) твердых бытовых отходов (в случае отсутствия программы комплексного развития);</w:t>
      </w:r>
    </w:p>
    <w:p w:rsidR="00B6440F" w:rsidRDefault="00B6440F">
      <w:r>
        <w:t xml:space="preserve">- план технических мероприятий, направленных на возведение производственных или имущественных элементов систем коммунальной инфраструктуры и объектов, </w:t>
      </w:r>
      <w:r>
        <w:lastRenderedPageBreak/>
        <w:t>используемых для утилизации (захоронения) твердых бытовых отходов (далее - мероприятия по строительству систем коммунальной инфраструктуры и объектов, используемых для утилизации (захоронения) твердых бытовых отходов)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и объектов, используемых для утилизации (захоронения) твердых бытовых отходов,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 и объектов, используемых для утилизации (захоронения) твердых бытовых отходов);</w:t>
      </w:r>
    </w:p>
    <w:p w:rsidR="00B6440F" w:rsidRDefault="00B6440F">
      <w:r>
        <w:t>- объем финансовых потребностей по реализации инвестиционной программы;</w:t>
      </w:r>
    </w:p>
    <w:p w:rsidR="00B6440F" w:rsidRDefault="00B6440F">
      <w:r>
        <w:t>- план финансирования инвестиционной программы с указанием источников ее финансирования;</w:t>
      </w:r>
    </w:p>
    <w:p w:rsidR="00B6440F" w:rsidRDefault="00B6440F">
      <w:r>
        <w:t>- иные сведения.</w:t>
      </w:r>
    </w:p>
    <w:p w:rsidR="00B6440F" w:rsidRDefault="00B6440F">
      <w:bookmarkStart w:id="14" w:name="sub_1010"/>
      <w:r>
        <w:t>10. Цели и задачи рекомендуется представлять в виде целевых индикаторов, характеризующих состояние систем коммунальной инфраструктуры и объектов, используемых для утилизации (захоронения) твердых бытовых отходов, которое необходимо обеспечить за счет реализации инвестиционной программы.</w:t>
      </w:r>
    </w:p>
    <w:p w:rsidR="00B6440F" w:rsidRDefault="00B6440F">
      <w:bookmarkStart w:id="15" w:name="sub_1011"/>
      <w:bookmarkEnd w:id="14"/>
      <w:r>
        <w:t>11. Проведение анализа состояния систем коммунальной инфраструктуры и объектов, используемых для утилизации (захоронения) твердых бытовых отходов, рекомендуется осуществлять в случае отсутствия программы комплексного развития. Анализ рекомендуется проводить с целью выявления основных проблем в функционировании указанных систем и объектов.</w:t>
      </w:r>
    </w:p>
    <w:bookmarkEnd w:id="15"/>
    <w:p w:rsidR="00B6440F" w:rsidRDefault="00B6440F">
      <w:r>
        <w:t>Анализ рекомендуется проводить по индикаторам, которые определены органом местного самоуправления в качестве целевых при подготовке технического задания. Значения индикаторов рекомендуется определять на момент проведения анализа, а также за предыдущие три года.</w:t>
      </w:r>
    </w:p>
    <w:p w:rsidR="00B6440F" w:rsidRDefault="00B6440F">
      <w:r>
        <w:t>Индикаторы рекомендуется формировать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 и объектов, используемых для утилизации (захоронения) твердых бытовых отходов, а именно:</w:t>
      </w:r>
    </w:p>
    <w:p w:rsidR="00B6440F" w:rsidRDefault="00B6440F">
      <w:r>
        <w:t>- надежность (бесперебойность) снабжения потребителей товарами (услугами) организации коммунального комплекса;</w:t>
      </w:r>
    </w:p>
    <w:p w:rsidR="00B6440F" w:rsidRDefault="00B6440F">
      <w:r>
        <w:t>- сбалансированность систем коммунальной инфраструктуры;</w:t>
      </w:r>
    </w:p>
    <w:p w:rsidR="00B6440F" w:rsidRDefault="00B6440F">
      <w: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B6440F" w:rsidRDefault="00B6440F">
      <w:r>
        <w:t>- эффективность деятельности организации коммунального комплекса;</w:t>
      </w:r>
    </w:p>
    <w:p w:rsidR="00B6440F" w:rsidRDefault="00B6440F">
      <w:r>
        <w:t>- обеспечение инженерно-экологических требований.</w:t>
      </w:r>
    </w:p>
    <w:p w:rsidR="00B6440F" w:rsidRDefault="00B6440F">
      <w:r>
        <w:t>Анализ состояния систем коммунальной инфраструктуры и объектов, используемых для утилизации (захоронения) твердых бытовых отходов, рекомендуется проводить в динамике за последние три года. Также анализ может проводиться в сравнении с аналогичными муниципальными образованиями. Критерии выбора аналогичных муниципальных образований рекомендуется определять органом местного самоуправления.</w:t>
      </w:r>
    </w:p>
    <w:p w:rsidR="00B6440F" w:rsidRDefault="00B6440F">
      <w:r>
        <w:t xml:space="preserve">В целях определения обеспеченности потребителей товарами и услугами </w:t>
      </w:r>
      <w:r>
        <w:lastRenderedPageBreak/>
        <w:t>организаций коммунального комплекса, осуществляющих эксплуатацию систем коммунальной инфраструктуры, а также соответствия производственных мощностей организации потребляемым объемам, в состав анализа рекомендуется включать определение уровня потребления товаров и услуг организаций коммунального комплекса. Уровень потребления рекомендуется определять таким образом, чтобы он отражал среднее фактическое удельное потребление отдельными потребителями (или группами потребителей), сложившееся за последние три года. Также уровень потребления товаров и услуг организаций коммунального комплекса может использоваться при расчете надбавок к тарифам и тарифов на подключение.</w:t>
      </w:r>
    </w:p>
    <w:p w:rsidR="00B6440F" w:rsidRDefault="00B6440F">
      <w:r>
        <w:t>Исходной информацией для проведения анализа могут быть формы федерального государственного статистического наблюдения, а также иная информация, используемая организацией коммунального комплекса.</w:t>
      </w:r>
    </w:p>
    <w:p w:rsidR="00B6440F" w:rsidRDefault="00B6440F">
      <w:bookmarkStart w:id="16" w:name="sub_1012"/>
      <w:r>
        <w:t>12.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рекомендуется формировать таким образом, чтобы они обеспечивали достижение целевых индикаторов, определенных в техническом задании на разработку инвестиционной программы, исходя из существующих проблем и особенностей эксплуатации систем и объектов, определенных в программе комплексного развития или на этапе проведения анализа в рамках разработки инвестиционной программы.</w:t>
      </w:r>
    </w:p>
    <w:p w:rsidR="00B6440F" w:rsidRDefault="00B6440F">
      <w:bookmarkStart w:id="17" w:name="sub_1013"/>
      <w:bookmarkEnd w:id="16"/>
      <w:r>
        <w:t>13. К мероприятиям по модернизации могут относиться:</w:t>
      </w:r>
    </w:p>
    <w:bookmarkEnd w:id="17"/>
    <w:p w:rsidR="00B6440F" w:rsidRDefault="00B6440F">
      <w:r>
        <w:t>- увеличение производительности оборудования на сохраняемых производственных площадях;</w:t>
      </w:r>
    </w:p>
    <w:p w:rsidR="00B6440F" w:rsidRDefault="00B6440F">
      <w:r>
        <w:t>- сокращение удельных расходов энергетических ресурсов на производство единицы товаров (оказание услуг);</w:t>
      </w:r>
    </w:p>
    <w:p w:rsidR="00B6440F" w:rsidRDefault="00B6440F">
      <w:r>
        <w:t>- снижение непроизводительных потерь ресурсов;</w:t>
      </w:r>
    </w:p>
    <w:p w:rsidR="00B6440F" w:rsidRDefault="00B6440F">
      <w:r>
        <w:t>- повышение долговечности работы основного оборудования;</w:t>
      </w:r>
    </w:p>
    <w:p w:rsidR="00B6440F" w:rsidRDefault="00B6440F">
      <w:r>
        <w:t>- улучшение условий труда производственного персонала и повышение безопасности работы;</w:t>
      </w:r>
    </w:p>
    <w:p w:rsidR="00B6440F" w:rsidRDefault="00B6440F">
      <w:r>
        <w:t>- автоматизация и переход на дистанционное управление производственных процессов.</w:t>
      </w:r>
    </w:p>
    <w:p w:rsidR="00B6440F" w:rsidRDefault="00B6440F">
      <w:bookmarkStart w:id="18" w:name="sub_1014"/>
      <w:r>
        <w:t>14. Разработку мероприятий рекомендуется осуществлять с использованием показателей, являющихся характеристиками систем коммунальной инфраструктуры и объектов, используемых для утилизации (захоронения) твердых бытовых отходов, изменение которых влияет на изменение конечного значения индикатора. Для каждого целевого индикатора определяются показатели, изменение которых в наибольшей степени оказывает влияние на данный индикатор.</w:t>
      </w:r>
    </w:p>
    <w:bookmarkEnd w:id="18"/>
    <w:p w:rsidR="00B6440F" w:rsidRDefault="00B6440F">
      <w:r>
        <w:t>По каждому целевому индикатору, определенному в техническом задании на разработку инвестиционной программы, рекомендуется определять отклонение целевого значения от текущего значения. Исходя из полученного отклонения рекомендуется определять изменение значения показателя, которое необходимо реализовать для изменения индикатора. На основании определенного изменения значения показателя рекомендуется формулировать наименование, характеристику, объем и срок технического мероприятия по строительству и (или) модернизации систем коммунальной инфраструктуры и объектов, используемых для утилизации (захоронения) твердых бытовых отходов.</w:t>
      </w:r>
    </w:p>
    <w:p w:rsidR="00B6440F" w:rsidRDefault="00B6440F">
      <w:r>
        <w:t xml:space="preserve">В случае если достижение установленных целевых индикаторов возможно посредством нескольких взаимоисключающих мероприятий, в программу рекомендуется включать наиболее эффективные мероприятия, Эффективность мероприятия рекомендуется определять отношением изменения индикатора, определяемого разностью текущего и целевого значений индикатора (при </w:t>
      </w:r>
      <w:r>
        <w:lastRenderedPageBreak/>
        <w:t>необходимости минимизации индикатора) или целевого и текущего значений индикатора (при необходимости максимизации индикатора), к стоимости его реализации.</w:t>
      </w:r>
    </w:p>
    <w:p w:rsidR="00B6440F" w:rsidRDefault="00B6440F">
      <w:r>
        <w:t>Мероприятия по строительству и модернизации систем коммунальной инфраструктуры, необходимые для подключения строящихся (реконструируемых) объектов, рекомендуется определять исходя из (увеличиваемых) нагрузок подключаемого объекта.</w:t>
      </w:r>
    </w:p>
    <w:p w:rsidR="00B6440F" w:rsidRDefault="00B6440F">
      <w:r>
        <w:t>Из совокупности разработанных мероприятий рекомендуется формировать инвестиционную программу.</w:t>
      </w:r>
    </w:p>
    <w:p w:rsidR="00B6440F" w:rsidRDefault="00B6440F">
      <w:bookmarkStart w:id="19" w:name="sub_1015"/>
      <w:r>
        <w:t>15. Не рекомендуется включать в инвестиционную программу мероприятия, предусмотренные иными инвестиционными или производственными программами организаций коммунального комплекса, без соответствующего внесения изменений в утвержденные программы.</w:t>
      </w:r>
    </w:p>
    <w:p w:rsidR="00B6440F" w:rsidRDefault="00B6440F">
      <w:bookmarkStart w:id="20" w:name="sub_1016"/>
      <w:bookmarkEnd w:id="19"/>
      <w:r>
        <w:t>16. Мероприятия в инвестиционной программе рекомендуется формировать таким образом, чтобы они имели адресную и временную характеристику. По каждому мероприятию рекомендуется указывать адрес объекта, на котором оно будет реализовываться, и год, в котором планируется его реализация.</w:t>
      </w:r>
    </w:p>
    <w:p w:rsidR="00B6440F" w:rsidRDefault="00B6440F">
      <w:bookmarkStart w:id="21" w:name="sub_1017"/>
      <w:bookmarkEnd w:id="20"/>
      <w:r>
        <w:t>17. Мероприятия в инвестиционной программе рекомендуется располагать последовательно по годам реализации программы.</w:t>
      </w:r>
    </w:p>
    <w:p w:rsidR="00B6440F" w:rsidRDefault="00B6440F">
      <w:bookmarkStart w:id="22" w:name="sub_1018"/>
      <w:bookmarkEnd w:id="21"/>
      <w:r>
        <w:t>18. Сроки реализации мероприятий, направленных на повышение качества производимых товаров (оказываемых услуг) и улучшение экологической ситуации, рекомендуется определять степенью их соответствия приоритетам, определенным в техническом задании. В рамках одного календарного года указанные мероприятия рекомендуется располагать в порядке убывания их приоритета (значимости) для достижения установленных целевых индикаторов.</w:t>
      </w:r>
    </w:p>
    <w:p w:rsidR="00B6440F" w:rsidRDefault="00B6440F">
      <w:bookmarkStart w:id="23" w:name="sub_1019"/>
      <w:bookmarkEnd w:id="22"/>
      <w:r>
        <w:t>19. Сроки реализации мероприятий по строительству систем коммунальной инфраструктуры, направленных на подключение строящихся (реконструируемых) объектов, рекомендуется определять соответственно со сроками застройки соответствующих участков.</w:t>
      </w:r>
    </w:p>
    <w:p w:rsidR="00B6440F" w:rsidRDefault="00B6440F">
      <w:bookmarkStart w:id="24" w:name="sub_1020"/>
      <w:bookmarkEnd w:id="23"/>
      <w:r>
        <w:t>20. Объем финансовых потребностей на реализацию инвестиционной программы рекомендуется определять посредством суммирования финансовых потребностей на реализацию каждого мероприятия программы.</w:t>
      </w:r>
    </w:p>
    <w:p w:rsidR="00B6440F" w:rsidRDefault="00B6440F">
      <w:bookmarkStart w:id="25" w:name="sub_1021"/>
      <w:bookmarkEnd w:id="24"/>
      <w:r>
        <w:t>21. Финансовые потребности на реализацию мероприятий инвестиционной программы могут определяться на основе:</w:t>
      </w:r>
    </w:p>
    <w:bookmarkEnd w:id="25"/>
    <w:p w:rsidR="00B6440F" w:rsidRDefault="00B6440F">
      <w:r>
        <w:t>- укрупненных показателей стоимости строительства и модернизации;</w:t>
      </w:r>
    </w:p>
    <w:p w:rsidR="00B6440F" w:rsidRDefault="00B6440F">
      <w:r>
        <w:t>- действующей сметной нормативной базы (государственные элементные нормы, федеральные и территориальные единичные расценки и другие).</w:t>
      </w:r>
    </w:p>
    <w:p w:rsidR="00B6440F" w:rsidRDefault="00B6440F">
      <w:bookmarkStart w:id="26" w:name="sub_1022"/>
      <w:r>
        <w:t>22. В финансовые потребности организации коммунального комплекса рекомендуется включать весь комплекс расходов, связанных с проведением мероприятий инвестиционной программы. К таким расходам относятся следующие:</w:t>
      </w:r>
    </w:p>
    <w:bookmarkEnd w:id="26"/>
    <w:p w:rsidR="00B6440F" w:rsidRDefault="00B6440F">
      <w:r>
        <w:t>- проектно-изыскательские работы;</w:t>
      </w:r>
    </w:p>
    <w:p w:rsidR="00B6440F" w:rsidRDefault="00B6440F">
      <w:r>
        <w:t>- приобретение материалов и оборудования;</w:t>
      </w:r>
    </w:p>
    <w:p w:rsidR="00B6440F" w:rsidRDefault="00B6440F">
      <w:r>
        <w:t>- строительно-монтажные работы;</w:t>
      </w:r>
    </w:p>
    <w:p w:rsidR="00B6440F" w:rsidRDefault="00B6440F">
      <w:r>
        <w:t>- работы по замене оборудования с улучшением технико-экономических характеристик;</w:t>
      </w:r>
    </w:p>
    <w:p w:rsidR="00B6440F" w:rsidRDefault="00B6440F">
      <w:r>
        <w:t>- пуско-наладочные работы;</w:t>
      </w:r>
    </w:p>
    <w:p w:rsidR="00B6440F" w:rsidRDefault="00B6440F">
      <w:r>
        <w:t>- проведение регистрации объектов;</w:t>
      </w:r>
    </w:p>
    <w:p w:rsidR="00B6440F" w:rsidRDefault="00B6440F">
      <w:r>
        <w:t>- расходы, не относимые на стоимость основных средств (аренда земли на срок строительства и т.п.).</w:t>
      </w:r>
    </w:p>
    <w:p w:rsidR="00B6440F" w:rsidRDefault="00B6440F">
      <w:bookmarkStart w:id="27" w:name="sub_1023"/>
      <w:r>
        <w:t xml:space="preserve">23. Расходы организации коммунального комплекса, связанные с эксплуатацией </w:t>
      </w:r>
      <w:r>
        <w:lastRenderedPageBreak/>
        <w:t>построенных (модернизированных) систем коммунальной инфраструктуры и объектов, используемых для утилизации (захоронения) твердых бытовых отходов, рекомендуется учитывать при установлении тарифов на товары и услуги данной организации.</w:t>
      </w:r>
    </w:p>
    <w:p w:rsidR="00B6440F" w:rsidRDefault="00B6440F">
      <w:bookmarkStart w:id="28" w:name="sub_1024"/>
      <w:bookmarkEnd w:id="27"/>
      <w:r>
        <w:t>24. Размер средств, необходимых для выплаты организацией коммунального комплекса дополнительных налоговых платежей, возникающих от увеличения выручки в связи с реализацией инвестиционной программы, рекомендуется включать в финансовые потребности.</w:t>
      </w:r>
    </w:p>
    <w:p w:rsidR="00B6440F" w:rsidRDefault="00B6440F">
      <w:bookmarkStart w:id="29" w:name="sub_1025"/>
      <w:bookmarkEnd w:id="28"/>
      <w:r>
        <w:t>25. При определении финансовых потребностей рекомендуется учитывать прогнозное изменение стоимости ресурсов в соответствующих периодах реализации мероприятия.</w:t>
      </w:r>
    </w:p>
    <w:p w:rsidR="00B6440F" w:rsidRDefault="00B6440F">
      <w:bookmarkStart w:id="30" w:name="sub_1026"/>
      <w:bookmarkEnd w:id="29"/>
      <w:r>
        <w:t>26. Мероприятия инвестиционной программы рекомендуется группировать в два инвестиционных проекта. В первый инвестиционный проект рекомендуется включать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направленные на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Во второй инвестиционный проект рекомендуется включать мероприятия по строительству и модернизации систем коммунальной инфраструктуры, направленные на подключение строящихся (реконструируемых) объектов.</w:t>
      </w:r>
    </w:p>
    <w:bookmarkEnd w:id="30"/>
    <w:p w:rsidR="00B6440F" w:rsidRDefault="00B6440F">
      <w:r>
        <w:t>Финансовые потребности на реализацию мероприятий первого инвестиционного проекта рекомендуется учитывать при определении надбавок к тарифам на товары и услуги организаций коммунального комплекса. Финансовые потребности на реализацию второго инвестиционного проекта рекомендуется учитывать при определении тарифов организации коммунального комплекса на подключение.</w:t>
      </w:r>
    </w:p>
    <w:p w:rsidR="00B6440F" w:rsidRDefault="00B6440F">
      <w:r>
        <w:t>Не рекомендуется включать финансовые потребности на реализацию мероприятий одного инвестиционного проекта в финансовые потребности другого инвестиционного проекта.</w:t>
      </w:r>
    </w:p>
    <w:p w:rsidR="00B6440F" w:rsidRDefault="00B6440F">
      <w:r>
        <w:t>В случае если реализуемое мероприятие обеспечивает одновременное достижение целей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и подключение строящихся (реконструируемых) объектов, распределение финансовых потребностей между инвестиционными проектами рекомендуется осуществлять пропорционально размеру планируемой для использования мощности.</w:t>
      </w:r>
    </w:p>
    <w:p w:rsidR="00B6440F" w:rsidRDefault="00B6440F">
      <w:bookmarkStart w:id="31" w:name="sub_1027"/>
      <w:r>
        <w:t>27. В случае если мероприятие реализуется в течение нескольких лет, в инвестиционной программе рекомендуется указывать финансовые потребности дифференцированно по годам исходя из этапов его реализации.</w:t>
      </w:r>
    </w:p>
    <w:p w:rsidR="00B6440F" w:rsidRDefault="00B6440F">
      <w:bookmarkStart w:id="32" w:name="sub_1028"/>
      <w:bookmarkEnd w:id="31"/>
      <w:r>
        <w:t>28. В инвестиционной программе рекомендуется учитывать и взаимоувязывать все возможные источники финансирования ее реализации. Источниками финансирования инвестиционной программы могут быть:</w:t>
      </w:r>
    </w:p>
    <w:bookmarkEnd w:id="32"/>
    <w:p w:rsidR="00B6440F" w:rsidRDefault="00B6440F">
      <w:r>
        <w:t>- собственные средства организации коммунального комплекса, в том числе:</w:t>
      </w:r>
    </w:p>
    <w:p w:rsidR="00B6440F" w:rsidRDefault="00B6440F">
      <w:bookmarkStart w:id="33" w:name="sub_10281"/>
      <w:r>
        <w:t>а) прибыль, направляемая на инвестиции (прибыль организации коммунального комплекса, направляемая на реализацию инвестиционной программы; финансовые средства, полученные организацией от применения установленных надбавок к тарифам и тарифов на подключение и направленные на непосредственное финансирование реализации мероприятий инвестиционной программы (за исключением средств от применения надбавок и тарифов на подключение, направляемых на возврат и обслуживание привлеченных заемных средств));</w:t>
      </w:r>
    </w:p>
    <w:p w:rsidR="00B6440F" w:rsidRDefault="00B6440F">
      <w:bookmarkStart w:id="34" w:name="sub_10282"/>
      <w:bookmarkEnd w:id="33"/>
      <w:r>
        <w:t>б) амортизационные отчисления;</w:t>
      </w:r>
    </w:p>
    <w:bookmarkEnd w:id="34"/>
    <w:p w:rsidR="00B6440F" w:rsidRDefault="00B6440F">
      <w:r>
        <w:lastRenderedPageBreak/>
        <w:t>- привлеченные средства;</w:t>
      </w:r>
    </w:p>
    <w:p w:rsidR="00B6440F" w:rsidRDefault="00B6440F">
      <w:r>
        <w:t>- бюджетные средства;</w:t>
      </w:r>
    </w:p>
    <w:p w:rsidR="00B6440F" w:rsidRDefault="00B6440F">
      <w:r>
        <w:t>- средства внебюджетных фондов;</w:t>
      </w:r>
    </w:p>
    <w:p w:rsidR="00B6440F" w:rsidRDefault="00B6440F">
      <w:r>
        <w:t>- прочие источники.</w:t>
      </w:r>
    </w:p>
    <w:p w:rsidR="00B6440F" w:rsidRDefault="00B6440F">
      <w:bookmarkStart w:id="35" w:name="sub_1029"/>
      <w:r>
        <w:t>29. В инвестиционной программе рекомендуется приводить распределение финансовых потребностей по возможным источникам финансирования, в том числе с распределением по годам и этапам реализации инвестиционной программы.</w:t>
      </w:r>
    </w:p>
    <w:p w:rsidR="00B6440F" w:rsidRDefault="00B6440F">
      <w:bookmarkStart w:id="36" w:name="sub_1030"/>
      <w:bookmarkEnd w:id="35"/>
      <w:r>
        <w:t>30. В случае если финансирование инвестиционной программы будет осуществляться с привлечением заемных средств, к проекту инвестиционной программы рекомендуется прикладывать документы, обосновывающие процентную ставку за пользование привлеченными средствами, а также план привлечения и возврата заемных средств с отдельным указанием возврата заемных средств и платежей за их использование. План привлечения и возврата заемных средств рекомендуется формировать таким образом, чтобы он обеспечивал полный возврат указанных средств за период действия инвестиционной программы. Финансовые средства, необходимые организации коммунального комплекса для осуществления платежей за пользование привлеченными средствами, в инвестиционной программе рекомендуется отражать справочно и учитывать при расчете надбавок к тарифам и тарифов на подключение.</w:t>
      </w:r>
    </w:p>
    <w:p w:rsidR="00B6440F" w:rsidRDefault="00B6440F">
      <w:bookmarkStart w:id="37" w:name="sub_1031"/>
      <w:bookmarkEnd w:id="36"/>
      <w:r>
        <w:t>31. Сроки разработки инвестиционной программы, а также перечень и сроки разработки дополнительных документов к программе рекомендуется определять в соответствии с техническим заданием.</w:t>
      </w:r>
    </w:p>
    <w:p w:rsidR="00B6440F" w:rsidRDefault="00B6440F">
      <w:bookmarkStart w:id="38" w:name="sub_1032"/>
      <w:bookmarkEnd w:id="37"/>
      <w:r>
        <w:t xml:space="preserve">32. Примерная форма табличной части инвестиционной программы приведена в </w:t>
      </w:r>
      <w:hyperlink w:anchor="sub_1100" w:history="1">
        <w:r>
          <w:rPr>
            <w:rStyle w:val="a4"/>
            <w:rFonts w:cs="Arial"/>
          </w:rPr>
          <w:t>Приложении N 1</w:t>
        </w:r>
      </w:hyperlink>
      <w:r>
        <w:t xml:space="preserve"> к Методическим рекомендациям.</w:t>
      </w:r>
    </w:p>
    <w:p w:rsidR="00B6440F" w:rsidRDefault="00B6440F">
      <w:bookmarkStart w:id="39" w:name="sub_1033"/>
      <w:bookmarkEnd w:id="38"/>
      <w:r>
        <w:t xml:space="preserve">33. Инвестиционную программу рекомендуется разрабатывать на срок не менее трех лет с учетом положений </w:t>
      </w:r>
      <w:hyperlink r:id="rId11" w:history="1">
        <w:r>
          <w:rPr>
            <w:rStyle w:val="a4"/>
            <w:rFonts w:cs="Arial"/>
          </w:rPr>
          <w:t>части 4 статьи 13</w:t>
        </w:r>
      </w:hyperlink>
      <w:r>
        <w:t xml:space="preserve"> Федерального закона от 30 декабря 2004 г. N 210-ФЗ. При этом, рекомендуемый срок реализации инвестиционной программы - пять лет.</w:t>
      </w:r>
    </w:p>
    <w:p w:rsidR="00B6440F" w:rsidRDefault="00B6440F">
      <w:bookmarkStart w:id="40" w:name="sub_1034"/>
      <w:bookmarkEnd w:id="39"/>
      <w:r>
        <w:t>34. Органы местного самоуправления могут принять муниципальный правовой акт, определяющий порядок и условия разработки инвестиционной программы. В указанном акте могут быть отражены:</w:t>
      </w:r>
    </w:p>
    <w:bookmarkEnd w:id="40"/>
    <w:p w:rsidR="00B6440F" w:rsidRDefault="00B6440F">
      <w:r>
        <w:t>- сроки подачи и рассмотрения инвестиционной программы органом регулирования;</w:t>
      </w:r>
    </w:p>
    <w:p w:rsidR="00B6440F" w:rsidRDefault="00B6440F">
      <w:r>
        <w:t>- перечень документов, предоставляемых в орган регулирования;</w:t>
      </w:r>
    </w:p>
    <w:p w:rsidR="00B6440F" w:rsidRDefault="00B6440F">
      <w:r>
        <w:t>- критерии согласования инвестиционной программы;</w:t>
      </w:r>
    </w:p>
    <w:p w:rsidR="00B6440F" w:rsidRDefault="00B6440F">
      <w:r>
        <w:t>- порядок разрешения разногласий;</w:t>
      </w:r>
    </w:p>
    <w:p w:rsidR="00B6440F" w:rsidRDefault="00B6440F">
      <w:r>
        <w:t>- порядок утверждения программы представительным органом власти муниципального образования.</w:t>
      </w:r>
    </w:p>
    <w:p w:rsidR="00B6440F" w:rsidRDefault="00B6440F">
      <w:bookmarkStart w:id="41" w:name="sub_1035"/>
      <w:r>
        <w:t>35. Разработка инвестиционной программы, расчет необходимых финансовых потребностей, надбавок к тарифам и тарифов на подключение могут осуществляться организацией коммунального комплекса с привлечением сторонних организаций.</w:t>
      </w:r>
    </w:p>
    <w:p w:rsidR="00B6440F" w:rsidRDefault="00B6440F">
      <w:bookmarkStart w:id="42" w:name="sub_1036"/>
      <w:bookmarkEnd w:id="41"/>
      <w:r>
        <w:t>36. Проект инвестиционной программы, расчет соответствующих ей финансовых потребностей, а также иные документы, предусмотренные техническим заданием, направляются организацией коммунального комплекса в орган регулирования в срок, установленный техническим заданием.</w:t>
      </w:r>
    </w:p>
    <w:p w:rsidR="00B6440F" w:rsidRDefault="00B6440F">
      <w:bookmarkStart w:id="43" w:name="sub_1037"/>
      <w:bookmarkEnd w:id="42"/>
      <w:r>
        <w:t>37. Соответствие перечня представленных документов требованиям технического задания рекомендуется проверять органом регулирования в течение трех рабочих дней.</w:t>
      </w:r>
    </w:p>
    <w:bookmarkEnd w:id="43"/>
    <w:p w:rsidR="00B6440F" w:rsidRDefault="00B6440F">
      <w:r>
        <w:t xml:space="preserve">В случае соответствия перечня представленных документов требованиям технического задания орган регулирования в письменной форме извещает организацию </w:t>
      </w:r>
      <w:r>
        <w:lastRenderedPageBreak/>
        <w:t>коммунального комплекса, направившую инвестиционную программу, о принятии материалов к рассмотрению.</w:t>
      </w:r>
    </w:p>
    <w:p w:rsidR="00B6440F" w:rsidRDefault="00B6440F">
      <w:r>
        <w:t>В случае несоответствия перечня представленных документов требованиям технического задания органом регулирования в трехдневный срок может быть направлен письменный запрос в организацию коммунального комплекса с указанием документов, которые необходимо дополнительно представить. Подготовка и направление запрошенных документов в орган регулирования рекомендуется осуществлять организацией коммунального комплекса в течение 10 рабочих дней с момента получения запроса. В случае невозможности подготовки и направления запрошенных документов организация коммунального комплекса в течение 10 рабочих дней с момента получения запроса письменно извещает об этом орган регулирования с обоснованием причин. В случае непредставления документов орган регулирования вправе отказать в рассмотрении проекта инвестиционной программы, письменно известив организацию коммунального комплекса в течение трех рабочих дней с момента получения извещения о невозможности предоставления документов.</w:t>
      </w:r>
    </w:p>
    <w:p w:rsidR="00B6440F" w:rsidRDefault="00B6440F">
      <w:bookmarkStart w:id="44" w:name="sub_1038"/>
      <w:r>
        <w:t>38. Проект разработанной инвестиционной программы и иных документов, представленных организацией коммунального комплекса, рекомендуется рассматривать органом регулирования в течение 30 календарных дней.</w:t>
      </w:r>
    </w:p>
    <w:p w:rsidR="00B6440F" w:rsidRDefault="00B6440F">
      <w:bookmarkStart w:id="45" w:name="sub_1039"/>
      <w:bookmarkEnd w:id="44"/>
      <w:r>
        <w:t>39. При рассмотрении представленных документов органу регулирования рекомендуется письменно запросить у организации коммунального комплекса дополнительные документы, обосновывающие инвестиционную программу и расчет финансовых потребностей. Организации коммунального комплекса рекомендуется в течение пяти рабочих дней с момента получения запроса органа регулирования предоставить органу регулирования запрашиваемую информацию в письменном виде. Непредставление запрошенной в соответствии с данным пунктом информации не должно являться основанием для отказа органа регулирования от рассмотрения проекта инвестиционной программы.</w:t>
      </w:r>
    </w:p>
    <w:p w:rsidR="00B6440F" w:rsidRDefault="00B6440F">
      <w:bookmarkStart w:id="46" w:name="sub_1040"/>
      <w:bookmarkEnd w:id="45"/>
      <w:r>
        <w:t>40. Органу регулирования на основании предоставленных организацией коммунального комплекса материалов рекомендуется проверять:</w:t>
      </w:r>
    </w:p>
    <w:bookmarkEnd w:id="46"/>
    <w:p w:rsidR="00B6440F" w:rsidRDefault="00B6440F">
      <w:r>
        <w:t>- соответствие инвестиционной программы требованиям законодательства Российской Федерации;</w:t>
      </w:r>
    </w:p>
    <w:p w:rsidR="00B6440F" w:rsidRDefault="00B6440F">
      <w:r>
        <w:t>- соответствие мероприятий инвестиционной программы целям, задачам и условиям технического задания на разработку инвестиционной программы;</w:t>
      </w:r>
    </w:p>
    <w:p w:rsidR="00B6440F" w:rsidRDefault="00B6440F">
      <w:r>
        <w:t>- обоснованность расчета финансовых потребностей организации коммунального комплекса, необходимых для реализации ее инвестиционной программы в рамках мероприятий, указанных в данной программе;</w:t>
      </w:r>
    </w:p>
    <w:p w:rsidR="00B6440F" w:rsidRDefault="00B6440F">
      <w:r>
        <w:t>-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B6440F" w:rsidRDefault="00B6440F">
      <w:r>
        <w:t>- соответствие рассчитанных организацией коммунального комплекса тарифов и надбавок финансовым потребностям, необходимым для реализации ее инвестиционной программы.</w:t>
      </w:r>
    </w:p>
    <w:p w:rsidR="00B6440F" w:rsidRDefault="00B6440F">
      <w:bookmarkStart w:id="47" w:name="sub_1041"/>
      <w:r>
        <w:t>41. Для проведения проверки обоснованности проекта инвестиционной программы, а также расчета финансовых потребностей, надбавок к тарифам и тарифов на подключение орган регулирования вправе привлечь сторонние организации.</w:t>
      </w:r>
    </w:p>
    <w:p w:rsidR="00B6440F" w:rsidRDefault="00B6440F">
      <w:bookmarkStart w:id="48" w:name="sub_1042"/>
      <w:bookmarkEnd w:id="47"/>
      <w:r>
        <w:t xml:space="preserve">42.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 </w:t>
      </w:r>
      <w:r>
        <w:lastRenderedPageBreak/>
        <w:t xml:space="preserve">соответствие с </w:t>
      </w:r>
      <w:hyperlink r:id="rId12" w:history="1">
        <w:r>
          <w:rPr>
            <w:rStyle w:val="a4"/>
            <w:rFonts w:cs="Arial"/>
          </w:rPr>
          <w:t>частью 5 статьи 11</w:t>
        </w:r>
      </w:hyperlink>
      <w:r>
        <w:t xml:space="preserve"> Федерального закона от 30 декабря 2004 г. N 210-ФЗ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
    <w:p w:rsidR="00B6440F" w:rsidRDefault="00B6440F">
      <w:bookmarkStart w:id="49" w:name="sub_1043"/>
      <w:bookmarkEnd w:id="48"/>
      <w:r>
        <w:t>43.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ее инвестиционной программы, орган регулирования вправе самостоятельно произвести перерасчет указанных тарифов и надбавок.</w:t>
      </w:r>
    </w:p>
    <w:p w:rsidR="00B6440F" w:rsidRDefault="00B6440F">
      <w:bookmarkStart w:id="50" w:name="sub_1044"/>
      <w:bookmarkEnd w:id="49"/>
      <w:r>
        <w:t>44. При признании органом регулирования необоснованным проекта инвестиционной программы и направления замечаний организации коммунального комплекса в течение 30 календарных дней рекомендуется осуществлять доработку инвестиционной программы в соответствии с замечаниями органа регулирования. После завершения доработки организации коммунального комплекса рекомендуется направлять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орган регулирования в письменном виде.</w:t>
      </w:r>
    </w:p>
    <w:p w:rsidR="00B6440F" w:rsidRDefault="00B6440F">
      <w:bookmarkStart w:id="51" w:name="sub_1045"/>
      <w:bookmarkEnd w:id="50"/>
      <w:r>
        <w:t xml:space="preserve">45. В случае если инвестиционная программа признается органом регулирования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орган регулирования в соответствие с </w:t>
      </w:r>
      <w:hyperlink r:id="rId13" w:history="1">
        <w:r>
          <w:rPr>
            <w:rStyle w:val="a4"/>
            <w:rFonts w:cs="Arial"/>
          </w:rPr>
          <w:t>частью 8 статьи 11</w:t>
        </w:r>
      </w:hyperlink>
      <w:r>
        <w:t xml:space="preserve"> Федерального закона от 30 декабря 2004 г. N 210-ФЗ определяет доступность для потребителей товаров и услуг организаций коммунального комплекса в соответствии с установленными им критериями доступности.</w:t>
      </w:r>
    </w:p>
    <w:p w:rsidR="00B6440F" w:rsidRDefault="00B6440F">
      <w:bookmarkStart w:id="52" w:name="sub_1046"/>
      <w:bookmarkEnd w:id="51"/>
      <w:r>
        <w:t>46. При вынесении органом регулирования решения о недоступности для потребителей товаров и услуг организаций коммунального комплекса орган регулирования вправе подготовить предложения по частичному обеспечению финансовых потребностей организации коммунального комплекса за счет средств бюджета муниципального образования и направить данное предложение в соответствующий орган местного самоуправления. В случае наличия возможности обеспечения финансовых потребностей за счет средств местного бюджета органу регулирования рекомендуется проводить перерасчет надбавок к тарифам и тарифов на подключение и повторно проводить оценку доступности.</w:t>
      </w:r>
    </w:p>
    <w:bookmarkEnd w:id="52"/>
    <w:p w:rsidR="00B6440F" w:rsidRDefault="00B6440F">
      <w:r>
        <w:t>При невозможности обеспечения финансовых потребностей организации коммунального комплекса за счет средств бюджета муниципального образования орган регулирования вправе подготовить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направить данное предложение главе муниципального образования (в представительный орган муниципального образования - в случае отсутствия программы комплексного развития).</w:t>
      </w:r>
    </w:p>
    <w:p w:rsidR="00B6440F" w:rsidRDefault="00B6440F">
      <w:bookmarkStart w:id="53" w:name="sub_1047"/>
      <w:r>
        <w:t xml:space="preserve">47. При вынесении органом регулирования решения о доступности для потребителей товаров и услуг организации коммунального комплекса орган регулирования в соответствие с </w:t>
      </w:r>
      <w:hyperlink r:id="rId14" w:history="1">
        <w:r>
          <w:rPr>
            <w:rStyle w:val="a4"/>
            <w:rFonts w:cs="Arial"/>
          </w:rPr>
          <w:t>частью 10 статьи 11</w:t>
        </w:r>
      </w:hyperlink>
      <w:r>
        <w:t xml:space="preserve"> Федерального закона от 30 декабря 2004 г. N 210-ФЗ направляет проект инвестиционной программы с представленными организацией коммунального комплекса расчетами (в том числе по итогам устранения замечаний) в представительный орган муниципального образования.</w:t>
      </w:r>
    </w:p>
    <w:p w:rsidR="00B6440F" w:rsidRDefault="00B6440F">
      <w:bookmarkStart w:id="54" w:name="sub_1048"/>
      <w:bookmarkEnd w:id="53"/>
      <w:r>
        <w:t xml:space="preserve">48. После утверждения инвестиционной программы в срок до начала ее реализации органы местного самоуправления в соответствии с </w:t>
      </w:r>
      <w:hyperlink r:id="rId15" w:history="1">
        <w:r>
          <w:rPr>
            <w:rStyle w:val="a4"/>
            <w:rFonts w:cs="Arial"/>
          </w:rPr>
          <w:t>частью 13 статьи 11</w:t>
        </w:r>
      </w:hyperlink>
      <w:r>
        <w:t xml:space="preserve"> </w:t>
      </w:r>
      <w:r>
        <w:lastRenderedPageBreak/>
        <w:t>Федерального закона от 30 декабря 2004 г. N 210-ФЗ заключают договор с организацией коммунального комплекса в целях развития системы коммунальной инфраструктуры и объектов, используемых для утилизации (захоронения) твердых бытовых отходов, определяющий условия реализации утвержденной инвестиционной программы данной организации. В указанном договоре рекомендуется отражать в том числе:</w:t>
      </w:r>
    </w:p>
    <w:bookmarkEnd w:id="54"/>
    <w:p w:rsidR="00B6440F" w:rsidRDefault="00B6440F">
      <w:r>
        <w:t>- цели деятельности организации коммунального комплекса по развитию систем коммунальной инфраструктуры и объектов, используемых для утилизации (захоронения) твердых бытовых отходов, выраженные в виде целевых индикаторов;</w:t>
      </w:r>
    </w:p>
    <w:p w:rsidR="00B6440F" w:rsidRDefault="00B6440F">
      <w:r>
        <w:t>-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включенные в инвестиционную программу;</w:t>
      </w:r>
    </w:p>
    <w:p w:rsidR="00B6440F" w:rsidRDefault="00B6440F">
      <w:r>
        <w:t>- размер финансовых потребностей, необходимых для реализации указанных мероприятий;</w:t>
      </w:r>
    </w:p>
    <w:p w:rsidR="00B6440F" w:rsidRDefault="00B6440F">
      <w:r>
        <w:t>- размер надбавок к тарифам и тарифов на подключение;</w:t>
      </w:r>
    </w:p>
    <w:p w:rsidR="00B6440F" w:rsidRDefault="00B6440F">
      <w:r>
        <w:t>- порядок и условия внесения изменений в договор, в утвержденную инвестиционную программу, пересмотра установленных надбавок к тарифам и тарифов на подключение;</w:t>
      </w:r>
    </w:p>
    <w:p w:rsidR="00B6440F" w:rsidRDefault="00B6440F">
      <w:r>
        <w:t>- права собственности на модернизируемые и строящиеся системы коммунальной инфраструктуры и объекты, используемые для утилизации (захоронения) твердых бытовых отходов, определяемые в соответствии с законодательством Российской Федерации.</w:t>
      </w:r>
    </w:p>
    <w:p w:rsidR="00B6440F" w:rsidRDefault="00B6440F">
      <w:r>
        <w:t>Договор рекомендуется заключать на срок реализации инвестиционной программы.</w:t>
      </w:r>
    </w:p>
    <w:p w:rsidR="00B6440F" w:rsidRDefault="00B6440F">
      <w:bookmarkStart w:id="55" w:name="sub_1049"/>
      <w:r>
        <w:t xml:space="preserve">49. Пересмотр (внесение изменений) в утвержденную инвестиционную программу в соответствие с </w:t>
      </w:r>
      <w:hyperlink r:id="rId16" w:history="1">
        <w:r>
          <w:rPr>
            <w:rStyle w:val="a4"/>
            <w:rFonts w:cs="Arial"/>
          </w:rPr>
          <w:t>частью 14 статьи 11</w:t>
        </w:r>
      </w:hyperlink>
      <w:r>
        <w:t xml:space="preserve"> Федерального закона от 30 декабря 2004 г. N 210-ФЗ осуществляется по инициативе органов местного самоуправления или по инициативе организации коммунального комплекса.</w:t>
      </w:r>
    </w:p>
    <w:p w:rsidR="00B6440F" w:rsidRDefault="00B6440F">
      <w:bookmarkStart w:id="56" w:name="sub_1050"/>
      <w:bookmarkEnd w:id="55"/>
      <w:r>
        <w:t>50. Основаниями для пересмотра (внесения изменений) в утвержденную инвестиционную программу могут быть:</w:t>
      </w:r>
    </w:p>
    <w:bookmarkEnd w:id="56"/>
    <w:p w:rsidR="00B6440F" w:rsidRDefault="00B6440F">
      <w:r>
        <w:t>- пересмотр (внесение изменение) в техническое задание на разработку инвестиционной программы;</w:t>
      </w:r>
    </w:p>
    <w:p w:rsidR="00B6440F" w:rsidRDefault="00B6440F">
      <w:r>
        <w:t>- результаты мониторинга выполнения инвестиционной программы организации коммунального комплекса;</w:t>
      </w:r>
    </w:p>
    <w:p w:rsidR="00B6440F" w:rsidRDefault="00B6440F">
      <w:r>
        <w:t>- вынесение органом регулирования муниципального образования решения о недоступности 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B6440F" w:rsidRDefault="00B6440F">
      <w:r>
        <w:t>- 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B6440F" w:rsidRDefault="00B6440F">
      <w:bookmarkStart w:id="57" w:name="sub_1051"/>
      <w:r>
        <w:t>51. В качестве оснований для пересмотра рекомендуется определять результаты мониторинга только по тем показателям и индикаторам, по которым устанавливались целевые значения при разработке инвестиционных программ. Критерии и их числовые значения, определяющие необходимость пересмотра инвестиционной программы по результатам проведения мониторинга выполнения инвестиционной программы, рекомендуется определять органу местного самоуправления.</w:t>
      </w:r>
    </w:p>
    <w:p w:rsidR="00B6440F" w:rsidRDefault="00B6440F">
      <w:bookmarkStart w:id="58" w:name="sub_1052"/>
      <w:bookmarkEnd w:id="57"/>
      <w:r>
        <w:t xml:space="preserve">52. Пересмотр (внесение изменений) инвестиционных программ может </w:t>
      </w:r>
      <w:r>
        <w:lastRenderedPageBreak/>
        <w:t xml:space="preserve">производиться не чаще одного раза в год с учетом положений </w:t>
      </w:r>
      <w:hyperlink r:id="rId17" w:history="1">
        <w:r>
          <w:rPr>
            <w:rStyle w:val="a4"/>
            <w:rFonts w:cs="Arial"/>
          </w:rPr>
          <w:t>части 9 статьи 14</w:t>
        </w:r>
      </w:hyperlink>
      <w:r>
        <w:t xml:space="preserve"> Федерального закона от 30 декабря 2004 г. N 210-ФЗ.</w:t>
      </w:r>
    </w:p>
    <w:p w:rsidR="00B6440F" w:rsidRDefault="00B6440F">
      <w:bookmarkStart w:id="59" w:name="sub_1053"/>
      <w:bookmarkEnd w:id="58"/>
      <w:r>
        <w:t>53. В случае если пересмотр инвестиционной программы осуществляется по инициативе организации коммунального комплекса, заявление о необходимости пересмотра, направляемое в орган регулирования муниципального образования, рекомендуется сопровождать обоснованием причин пересмотра (внесения изменений) с приложением необходимых документов.</w:t>
      </w:r>
    </w:p>
    <w:p w:rsidR="00B6440F" w:rsidRDefault="00B6440F">
      <w:bookmarkStart w:id="60" w:name="sub_1054"/>
      <w:bookmarkEnd w:id="59"/>
      <w:r>
        <w:t>54. Пересмотр (внесение изменений) инвестиционной программы рекомендуется осуществлять в порядке, предусмотренном для разработки инвестиционной программы.</w:t>
      </w:r>
    </w:p>
    <w:p w:rsidR="00B6440F" w:rsidRDefault="00B6440F">
      <w:bookmarkStart w:id="61" w:name="sub_1055"/>
      <w:bookmarkEnd w:id="60"/>
      <w:r>
        <w:t>55.Решение об утверждении или пересмотре (внесении изменений) инвестиционной программы в недельный срок со дня его принятия рекомендуется доводить представительным органом муниципального образования до организации коммунального комплекса, осуществляющей реализацию инвестиционной программы.</w:t>
      </w:r>
    </w:p>
    <w:bookmarkEnd w:id="61"/>
    <w:p w:rsidR="00B6440F" w:rsidRDefault="00B6440F"/>
    <w:p w:rsidR="00B6440F" w:rsidRDefault="00B6440F">
      <w:pPr>
        <w:ind w:firstLine="698"/>
        <w:jc w:val="right"/>
      </w:pPr>
      <w:bookmarkStart w:id="62" w:name="sub_1100"/>
      <w:r>
        <w:rPr>
          <w:rStyle w:val="a3"/>
          <w:bCs/>
        </w:rPr>
        <w:t>Приложение N 1</w:t>
      </w:r>
      <w:r>
        <w:rPr>
          <w:rStyle w:val="a3"/>
          <w:bCs/>
        </w:rPr>
        <w:br/>
        <w:t xml:space="preserve">к </w:t>
      </w:r>
      <w:hyperlink w:anchor="sub_1000" w:history="1">
        <w:r>
          <w:rPr>
            <w:rStyle w:val="a4"/>
            <w:rFonts w:cs="Arial"/>
            <w:b/>
            <w:bCs/>
          </w:rPr>
          <w:t>Методическим рекомендациям</w:t>
        </w:r>
      </w:hyperlink>
      <w:r>
        <w:rPr>
          <w:rStyle w:val="a3"/>
          <w:bCs/>
        </w:rPr>
        <w:br/>
        <w:t>по разработке инвестиционных программ</w:t>
      </w:r>
      <w:r>
        <w:rPr>
          <w:rStyle w:val="a3"/>
          <w:bCs/>
        </w:rPr>
        <w:br/>
        <w:t>организаций коммунального комплекса,</w:t>
      </w:r>
      <w:r>
        <w:rPr>
          <w:rStyle w:val="a3"/>
          <w:bCs/>
        </w:rPr>
        <w:br/>
        <w:t xml:space="preserve">утвержденных </w:t>
      </w:r>
      <w:hyperlink w:anchor="sub_0" w:history="1">
        <w:r>
          <w:rPr>
            <w:rStyle w:val="a4"/>
            <w:rFonts w:cs="Arial"/>
            <w:b/>
            <w:bCs/>
          </w:rPr>
          <w:t>приказом</w:t>
        </w:r>
      </w:hyperlink>
      <w:r>
        <w:rPr>
          <w:rStyle w:val="a3"/>
          <w:bCs/>
        </w:rPr>
        <w:br/>
        <w:t>Министра регионального развития РФ</w:t>
      </w:r>
      <w:r>
        <w:rPr>
          <w:rStyle w:val="a3"/>
          <w:bCs/>
        </w:rPr>
        <w:br/>
        <w:t>от 10 октября 2007 г. N 99</w:t>
      </w:r>
    </w:p>
    <w:bookmarkEnd w:id="62"/>
    <w:p w:rsidR="00B6440F" w:rsidRDefault="00B6440F"/>
    <w:p w:rsidR="00B6440F" w:rsidRDefault="00B6440F">
      <w:pPr>
        <w:pStyle w:val="1"/>
      </w:pPr>
      <w:r>
        <w:t>Примерная форма табличной части инвестиционной программы организации коммунального комплекса</w:t>
      </w:r>
    </w:p>
    <w:p w:rsidR="00B6440F" w:rsidRDefault="00B6440F"/>
    <w:p w:rsidR="00B6440F" w:rsidRDefault="00B6440F">
      <w:pPr>
        <w:sectPr w:rsidR="00B6440F">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3597"/>
        <w:gridCol w:w="1080"/>
        <w:gridCol w:w="1320"/>
        <w:gridCol w:w="1245"/>
        <w:gridCol w:w="675"/>
        <w:gridCol w:w="677"/>
        <w:gridCol w:w="675"/>
        <w:gridCol w:w="676"/>
        <w:gridCol w:w="1350"/>
        <w:gridCol w:w="720"/>
        <w:gridCol w:w="720"/>
        <w:gridCol w:w="720"/>
        <w:gridCol w:w="825"/>
      </w:tblGrid>
      <w:tr w:rsidR="00B6440F">
        <w:tblPrEx>
          <w:tblCellMar>
            <w:top w:w="0" w:type="dxa"/>
            <w:bottom w:w="0" w:type="dxa"/>
          </w:tblCellMar>
        </w:tblPrEx>
        <w:tc>
          <w:tcPr>
            <w:tcW w:w="1008" w:type="dxa"/>
            <w:vMerge w:val="restart"/>
            <w:tcBorders>
              <w:top w:val="single" w:sz="4" w:space="0" w:color="auto"/>
              <w:bottom w:val="nil"/>
              <w:right w:val="single" w:sz="4" w:space="0" w:color="auto"/>
            </w:tcBorders>
          </w:tcPr>
          <w:p w:rsidR="00B6440F" w:rsidRDefault="00B6440F">
            <w:pPr>
              <w:pStyle w:val="aff6"/>
              <w:jc w:val="center"/>
            </w:pPr>
            <w:r>
              <w:lastRenderedPageBreak/>
              <w:t>N п/п</w:t>
            </w:r>
          </w:p>
        </w:tc>
        <w:tc>
          <w:tcPr>
            <w:tcW w:w="3597" w:type="dxa"/>
            <w:vMerge w:val="restart"/>
            <w:tcBorders>
              <w:top w:val="single" w:sz="4" w:space="0" w:color="auto"/>
              <w:left w:val="single" w:sz="4" w:space="0" w:color="auto"/>
              <w:bottom w:val="nil"/>
              <w:right w:val="single" w:sz="4" w:space="0" w:color="auto"/>
            </w:tcBorders>
          </w:tcPr>
          <w:p w:rsidR="00B6440F" w:rsidRDefault="00B6440F">
            <w:pPr>
              <w:pStyle w:val="aff6"/>
              <w:jc w:val="center"/>
            </w:pPr>
            <w:r>
              <w:t>Наименование мероприятия/адрес объекта</w:t>
            </w:r>
          </w:p>
        </w:tc>
        <w:tc>
          <w:tcPr>
            <w:tcW w:w="1080" w:type="dxa"/>
            <w:vMerge w:val="restart"/>
            <w:tcBorders>
              <w:top w:val="single" w:sz="4" w:space="0" w:color="auto"/>
              <w:left w:val="single" w:sz="4" w:space="0" w:color="auto"/>
              <w:bottom w:val="nil"/>
              <w:right w:val="single" w:sz="4" w:space="0" w:color="auto"/>
            </w:tcBorders>
          </w:tcPr>
          <w:p w:rsidR="00B6440F" w:rsidRDefault="00B6440F">
            <w:pPr>
              <w:pStyle w:val="aff6"/>
              <w:jc w:val="center"/>
            </w:pPr>
            <w:r>
              <w:t>Ед. изм.</w:t>
            </w:r>
          </w:p>
          <w:p w:rsidR="00B6440F" w:rsidRDefault="00B6440F">
            <w:pPr>
              <w:pStyle w:val="aff6"/>
            </w:pPr>
          </w:p>
        </w:tc>
        <w:tc>
          <w:tcPr>
            <w:tcW w:w="1320" w:type="dxa"/>
            <w:vMerge w:val="restart"/>
            <w:tcBorders>
              <w:top w:val="single" w:sz="4" w:space="0" w:color="auto"/>
              <w:left w:val="single" w:sz="4" w:space="0" w:color="auto"/>
              <w:bottom w:val="nil"/>
              <w:right w:val="single" w:sz="4" w:space="0" w:color="auto"/>
            </w:tcBorders>
          </w:tcPr>
          <w:p w:rsidR="00B6440F" w:rsidRDefault="00B6440F">
            <w:pPr>
              <w:pStyle w:val="aff6"/>
              <w:jc w:val="center"/>
            </w:pPr>
            <w:r>
              <w:t>Цели реализации мероприятия</w:t>
            </w:r>
          </w:p>
          <w:p w:rsidR="00B6440F" w:rsidRDefault="00B6440F">
            <w:pPr>
              <w:pStyle w:val="aff6"/>
            </w:pPr>
          </w:p>
        </w:tc>
        <w:tc>
          <w:tcPr>
            <w:tcW w:w="1245" w:type="dxa"/>
            <w:vMerge w:val="restart"/>
            <w:tcBorders>
              <w:top w:val="single" w:sz="4" w:space="0" w:color="auto"/>
              <w:left w:val="single" w:sz="4" w:space="0" w:color="auto"/>
              <w:bottom w:val="nil"/>
              <w:right w:val="single" w:sz="4" w:space="0" w:color="auto"/>
            </w:tcBorders>
          </w:tcPr>
          <w:p w:rsidR="00B6440F" w:rsidRDefault="00B6440F">
            <w:pPr>
              <w:pStyle w:val="aff6"/>
              <w:jc w:val="center"/>
            </w:pPr>
            <w:r>
              <w:t>Объемные показатели</w:t>
            </w:r>
          </w:p>
          <w:p w:rsidR="00B6440F" w:rsidRDefault="00B6440F">
            <w:pPr>
              <w:pStyle w:val="aff6"/>
            </w:pPr>
          </w:p>
        </w:tc>
        <w:tc>
          <w:tcPr>
            <w:tcW w:w="2703" w:type="dxa"/>
            <w:gridSpan w:val="4"/>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Реализация мероприятий, по годам, ед. изм.</w:t>
            </w:r>
          </w:p>
        </w:tc>
        <w:tc>
          <w:tcPr>
            <w:tcW w:w="1350" w:type="dxa"/>
            <w:vMerge w:val="restart"/>
            <w:tcBorders>
              <w:top w:val="single" w:sz="4" w:space="0" w:color="auto"/>
              <w:left w:val="single" w:sz="4" w:space="0" w:color="auto"/>
              <w:bottom w:val="nil"/>
              <w:right w:val="single" w:sz="4" w:space="0" w:color="auto"/>
            </w:tcBorders>
          </w:tcPr>
          <w:p w:rsidR="00B6440F" w:rsidRDefault="00B6440F">
            <w:pPr>
              <w:pStyle w:val="aff6"/>
              <w:jc w:val="center"/>
            </w:pPr>
            <w:r>
              <w:t>Финансовые потребности, всего, тыс. руб.</w:t>
            </w:r>
          </w:p>
          <w:p w:rsidR="00B6440F" w:rsidRDefault="00B6440F">
            <w:pPr>
              <w:pStyle w:val="aff6"/>
            </w:pPr>
          </w:p>
        </w:tc>
        <w:tc>
          <w:tcPr>
            <w:tcW w:w="2985" w:type="dxa"/>
            <w:gridSpan w:val="4"/>
            <w:tcBorders>
              <w:top w:val="single" w:sz="4" w:space="0" w:color="auto"/>
              <w:left w:val="single" w:sz="4" w:space="0" w:color="auto"/>
              <w:bottom w:val="single" w:sz="4" w:space="0" w:color="auto"/>
            </w:tcBorders>
          </w:tcPr>
          <w:p w:rsidR="00B6440F" w:rsidRDefault="00B6440F">
            <w:pPr>
              <w:pStyle w:val="aff6"/>
              <w:jc w:val="center"/>
            </w:pPr>
            <w:r>
              <w:t>Реализация мероприятий по годам, тыс. руб.</w:t>
            </w:r>
          </w:p>
        </w:tc>
      </w:tr>
      <w:tr w:rsidR="00B6440F">
        <w:tblPrEx>
          <w:tblCellMar>
            <w:top w:w="0" w:type="dxa"/>
            <w:bottom w:w="0" w:type="dxa"/>
          </w:tblCellMar>
        </w:tblPrEx>
        <w:tc>
          <w:tcPr>
            <w:tcW w:w="1008" w:type="dxa"/>
            <w:vMerge/>
            <w:tcBorders>
              <w:top w:val="nil"/>
              <w:bottom w:val="single" w:sz="4" w:space="0" w:color="auto"/>
              <w:right w:val="single" w:sz="4" w:space="0" w:color="auto"/>
            </w:tcBorders>
          </w:tcPr>
          <w:p w:rsidR="00B6440F" w:rsidRDefault="00B6440F">
            <w:pPr>
              <w:pStyle w:val="aff6"/>
            </w:pPr>
          </w:p>
        </w:tc>
        <w:tc>
          <w:tcPr>
            <w:tcW w:w="3597" w:type="dxa"/>
            <w:vMerge/>
            <w:tcBorders>
              <w:top w:val="nil"/>
              <w:left w:val="single" w:sz="4" w:space="0" w:color="auto"/>
              <w:bottom w:val="single" w:sz="4" w:space="0" w:color="auto"/>
              <w:right w:val="single" w:sz="4" w:space="0" w:color="auto"/>
            </w:tcBorders>
          </w:tcPr>
          <w:p w:rsidR="00B6440F" w:rsidRDefault="00B6440F">
            <w:pPr>
              <w:pStyle w:val="aff6"/>
            </w:pPr>
          </w:p>
        </w:tc>
        <w:tc>
          <w:tcPr>
            <w:tcW w:w="1080" w:type="dxa"/>
            <w:vMerge/>
            <w:tcBorders>
              <w:top w:val="nil"/>
              <w:left w:val="single" w:sz="4" w:space="0" w:color="auto"/>
              <w:bottom w:val="single" w:sz="4" w:space="0" w:color="auto"/>
              <w:right w:val="single" w:sz="4" w:space="0" w:color="auto"/>
            </w:tcBorders>
          </w:tcPr>
          <w:p w:rsidR="00B6440F" w:rsidRDefault="00B6440F">
            <w:pPr>
              <w:pStyle w:val="aff6"/>
            </w:pPr>
          </w:p>
        </w:tc>
        <w:tc>
          <w:tcPr>
            <w:tcW w:w="1320" w:type="dxa"/>
            <w:vMerge/>
            <w:tcBorders>
              <w:top w:val="nil"/>
              <w:left w:val="single" w:sz="4" w:space="0" w:color="auto"/>
              <w:bottom w:val="single" w:sz="4" w:space="0" w:color="auto"/>
              <w:right w:val="single" w:sz="4" w:space="0" w:color="auto"/>
            </w:tcBorders>
          </w:tcPr>
          <w:p w:rsidR="00B6440F" w:rsidRDefault="00B6440F">
            <w:pPr>
              <w:pStyle w:val="aff6"/>
            </w:pPr>
          </w:p>
        </w:tc>
        <w:tc>
          <w:tcPr>
            <w:tcW w:w="1245" w:type="dxa"/>
            <w:vMerge/>
            <w:tcBorders>
              <w:top w:val="nil"/>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1</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2</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3</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4</w:t>
            </w:r>
          </w:p>
        </w:tc>
        <w:tc>
          <w:tcPr>
            <w:tcW w:w="1350" w:type="dxa"/>
            <w:vMerge/>
            <w:tcBorders>
              <w:top w:val="nil"/>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1</w:t>
            </w: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2</w:t>
            </w: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3</w:t>
            </w:r>
          </w:p>
        </w:tc>
        <w:tc>
          <w:tcPr>
            <w:tcW w:w="825" w:type="dxa"/>
            <w:tcBorders>
              <w:top w:val="single" w:sz="4" w:space="0" w:color="auto"/>
              <w:left w:val="single" w:sz="4" w:space="0" w:color="auto"/>
              <w:bottom w:val="single" w:sz="4" w:space="0" w:color="auto"/>
            </w:tcBorders>
          </w:tcPr>
          <w:p w:rsidR="00B6440F" w:rsidRDefault="00B6440F">
            <w:pPr>
              <w:pStyle w:val="aff6"/>
              <w:jc w:val="center"/>
            </w:pPr>
            <w:r>
              <w:t>4</w:t>
            </w: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jc w:val="center"/>
            </w:pPr>
            <w:r>
              <w:t>1.</w:t>
            </w:r>
          </w:p>
        </w:tc>
        <w:tc>
          <w:tcPr>
            <w:tcW w:w="14280" w:type="dxa"/>
            <w:gridSpan w:val="13"/>
            <w:tcBorders>
              <w:top w:val="single" w:sz="4" w:space="0" w:color="auto"/>
              <w:left w:val="single" w:sz="4" w:space="0" w:color="auto"/>
              <w:bottom w:val="single" w:sz="4" w:space="0" w:color="auto"/>
            </w:tcBorders>
          </w:tcPr>
          <w:p w:rsidR="00B6440F" w:rsidRDefault="00B6440F">
            <w:pPr>
              <w:pStyle w:val="aff6"/>
            </w:pPr>
            <w:r>
              <w:t>Инвестиционный проект по повышению качества товаров и услуг, улучшению экологической ситуации</w:t>
            </w: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jc w:val="center"/>
            </w:pPr>
            <w:r>
              <w:t>1.1.</w:t>
            </w:r>
          </w:p>
        </w:tc>
        <w:tc>
          <w:tcPr>
            <w:tcW w:w="3597" w:type="dxa"/>
            <w:tcBorders>
              <w:top w:val="single" w:sz="4" w:space="0" w:color="auto"/>
              <w:left w:val="single" w:sz="4" w:space="0" w:color="auto"/>
              <w:bottom w:val="single" w:sz="4" w:space="0" w:color="auto"/>
              <w:right w:val="single" w:sz="4" w:space="0" w:color="auto"/>
            </w:tcBorders>
          </w:tcPr>
          <w:p w:rsidR="00B6440F" w:rsidRDefault="00B6440F">
            <w:pPr>
              <w:pStyle w:val="aff6"/>
            </w:pPr>
            <w:r>
              <w:t>Мероприятие 1</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jc w:val="center"/>
            </w:pPr>
            <w:r>
              <w:t>1.2.</w:t>
            </w:r>
          </w:p>
        </w:tc>
        <w:tc>
          <w:tcPr>
            <w:tcW w:w="3597" w:type="dxa"/>
            <w:tcBorders>
              <w:top w:val="single" w:sz="4" w:space="0" w:color="auto"/>
              <w:left w:val="single" w:sz="4" w:space="0" w:color="auto"/>
              <w:bottom w:val="single" w:sz="4" w:space="0" w:color="auto"/>
              <w:right w:val="single" w:sz="4" w:space="0" w:color="auto"/>
            </w:tcBorders>
          </w:tcPr>
          <w:p w:rsidR="00B6440F" w:rsidRDefault="00B6440F">
            <w:pPr>
              <w:pStyle w:val="aff6"/>
            </w:pPr>
            <w:r>
              <w:t>Мероприятие 2</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Всего инвестиций за период, в т.ч.</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Собственные средства, из них</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Прибыль, направляемая на инвестиции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Амортизация</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Прочие собственные источники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Привлеченные средства</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Заемные средства кредитных организаций</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Бюджетные средства, из них</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 субъекта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Средства внебюджетных фондов</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Прочие средства</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pPr>
            <w:r>
              <w:t>2.</w:t>
            </w:r>
          </w:p>
        </w:tc>
        <w:tc>
          <w:tcPr>
            <w:tcW w:w="14280" w:type="dxa"/>
            <w:gridSpan w:val="13"/>
            <w:tcBorders>
              <w:top w:val="single" w:sz="4" w:space="0" w:color="auto"/>
              <w:left w:val="single" w:sz="4" w:space="0" w:color="auto"/>
              <w:bottom w:val="single" w:sz="4" w:space="0" w:color="auto"/>
            </w:tcBorders>
          </w:tcPr>
          <w:p w:rsidR="00B6440F" w:rsidRDefault="00B6440F">
            <w:pPr>
              <w:pStyle w:val="aff6"/>
            </w:pPr>
            <w:r>
              <w:t>Инвестиционный проект по подключению строящихся (реконструируемых) объектов</w:t>
            </w: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pPr>
            <w:r>
              <w:t>2.1.</w:t>
            </w:r>
          </w:p>
        </w:tc>
        <w:tc>
          <w:tcPr>
            <w:tcW w:w="3597" w:type="dxa"/>
            <w:tcBorders>
              <w:top w:val="single" w:sz="4" w:space="0" w:color="auto"/>
              <w:left w:val="single" w:sz="4" w:space="0" w:color="auto"/>
              <w:bottom w:val="single" w:sz="4" w:space="0" w:color="auto"/>
              <w:right w:val="single" w:sz="4" w:space="0" w:color="auto"/>
            </w:tcBorders>
          </w:tcPr>
          <w:p w:rsidR="00B6440F" w:rsidRDefault="00B6440F">
            <w:pPr>
              <w:pStyle w:val="aff6"/>
            </w:pPr>
            <w:r>
              <w:t>Мероприятие 1</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1008" w:type="dxa"/>
            <w:tcBorders>
              <w:top w:val="single" w:sz="4" w:space="0" w:color="auto"/>
              <w:bottom w:val="single" w:sz="4" w:space="0" w:color="auto"/>
              <w:right w:val="single" w:sz="4" w:space="0" w:color="auto"/>
            </w:tcBorders>
          </w:tcPr>
          <w:p w:rsidR="00B6440F" w:rsidRDefault="00B6440F">
            <w:pPr>
              <w:pStyle w:val="aff6"/>
            </w:pPr>
            <w:r>
              <w:t>2.2.</w:t>
            </w:r>
          </w:p>
        </w:tc>
        <w:tc>
          <w:tcPr>
            <w:tcW w:w="3597" w:type="dxa"/>
            <w:tcBorders>
              <w:top w:val="single" w:sz="4" w:space="0" w:color="auto"/>
              <w:left w:val="single" w:sz="4" w:space="0" w:color="auto"/>
              <w:bottom w:val="single" w:sz="4" w:space="0" w:color="auto"/>
              <w:right w:val="single" w:sz="4" w:space="0" w:color="auto"/>
            </w:tcBorders>
          </w:tcPr>
          <w:p w:rsidR="00B6440F" w:rsidRDefault="00B6440F">
            <w:pPr>
              <w:pStyle w:val="aff6"/>
            </w:pPr>
            <w:r>
              <w:t>Мероприятие 2</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Всего инвестиций за период, в т.ч.</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Собственные средства, из них</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lastRenderedPageBreak/>
              <w:t>Прибыль, направляемая на инвестиции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Амортизация</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Прочие собственные источники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Привлеченные средства</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Заемные средства кредитных организаций</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Бюджетные средства, из них</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 субъекта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бюджет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Средства внебюджетных фондов</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r w:rsidR="00B6440F">
        <w:tblPrEx>
          <w:tblCellMar>
            <w:top w:w="0" w:type="dxa"/>
            <w:bottom w:w="0" w:type="dxa"/>
          </w:tblCellMar>
        </w:tblPrEx>
        <w:tc>
          <w:tcPr>
            <w:tcW w:w="4605" w:type="dxa"/>
            <w:gridSpan w:val="2"/>
            <w:tcBorders>
              <w:top w:val="single" w:sz="4" w:space="0" w:color="auto"/>
              <w:bottom w:val="single" w:sz="4" w:space="0" w:color="auto"/>
              <w:right w:val="single" w:sz="4" w:space="0" w:color="auto"/>
            </w:tcBorders>
          </w:tcPr>
          <w:p w:rsidR="00B6440F" w:rsidRDefault="00B6440F">
            <w:pPr>
              <w:pStyle w:val="aff6"/>
            </w:pPr>
            <w:r>
              <w:t>Прочие средства</w:t>
            </w:r>
          </w:p>
        </w:tc>
        <w:tc>
          <w:tcPr>
            <w:tcW w:w="108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20"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24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7"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5"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676" w:type="dxa"/>
            <w:tcBorders>
              <w:top w:val="single" w:sz="4" w:space="0" w:color="auto"/>
              <w:left w:val="single" w:sz="4" w:space="0" w:color="auto"/>
              <w:bottom w:val="single" w:sz="4" w:space="0" w:color="auto"/>
              <w:right w:val="single" w:sz="4" w:space="0" w:color="auto"/>
            </w:tcBorders>
          </w:tcPr>
          <w:p w:rsidR="00B6440F" w:rsidRDefault="00B6440F">
            <w:pPr>
              <w:pStyle w:val="aff6"/>
              <w:jc w:val="center"/>
            </w:pPr>
            <w:r>
              <w:t>-</w:t>
            </w:r>
          </w:p>
        </w:tc>
        <w:tc>
          <w:tcPr>
            <w:tcW w:w="135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720" w:type="dxa"/>
            <w:tcBorders>
              <w:top w:val="single" w:sz="4" w:space="0" w:color="auto"/>
              <w:left w:val="single" w:sz="4" w:space="0" w:color="auto"/>
              <w:bottom w:val="single" w:sz="4" w:space="0" w:color="auto"/>
              <w:right w:val="single" w:sz="4" w:space="0" w:color="auto"/>
            </w:tcBorders>
          </w:tcPr>
          <w:p w:rsidR="00B6440F" w:rsidRDefault="00B6440F">
            <w:pPr>
              <w:pStyle w:val="aff6"/>
            </w:pPr>
          </w:p>
        </w:tc>
        <w:tc>
          <w:tcPr>
            <w:tcW w:w="825" w:type="dxa"/>
            <w:tcBorders>
              <w:top w:val="single" w:sz="4" w:space="0" w:color="auto"/>
              <w:left w:val="single" w:sz="4" w:space="0" w:color="auto"/>
              <w:bottom w:val="single" w:sz="4" w:space="0" w:color="auto"/>
            </w:tcBorders>
          </w:tcPr>
          <w:p w:rsidR="00B6440F" w:rsidRDefault="00B6440F">
            <w:pPr>
              <w:pStyle w:val="aff6"/>
            </w:pPr>
          </w:p>
        </w:tc>
      </w:tr>
    </w:tbl>
    <w:p w:rsidR="00B6440F" w:rsidRDefault="00B6440F"/>
    <w:sectPr w:rsidR="00B6440F">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84"/>
    <w:rsid w:val="00306784"/>
    <w:rsid w:val="00653F22"/>
    <w:rsid w:val="00B6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84.0" TargetMode="External"/><Relationship Id="rId13" Type="http://schemas.openxmlformats.org/officeDocument/2006/relationships/hyperlink" Target="garantF1://12038284.11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7422.0" TargetMode="External"/><Relationship Id="rId12" Type="http://schemas.openxmlformats.org/officeDocument/2006/relationships/hyperlink" Target="garantF1://12038284.1105" TargetMode="External"/><Relationship Id="rId17" Type="http://schemas.openxmlformats.org/officeDocument/2006/relationships/hyperlink" Target="garantF1://12038284.1409" TargetMode="External"/><Relationship Id="rId2" Type="http://schemas.microsoft.com/office/2007/relationships/stylesWithEffects" Target="stylesWithEffects.xml"/><Relationship Id="rId16" Type="http://schemas.openxmlformats.org/officeDocument/2006/relationships/hyperlink" Target="garantF1://12038284.1114" TargetMode="External"/><Relationship Id="rId1" Type="http://schemas.openxmlformats.org/officeDocument/2006/relationships/styles" Target="styles.xml"/><Relationship Id="rId6" Type="http://schemas.openxmlformats.org/officeDocument/2006/relationships/hyperlink" Target="garantF1://2207422.1000" TargetMode="External"/><Relationship Id="rId11" Type="http://schemas.openxmlformats.org/officeDocument/2006/relationships/hyperlink" Target="garantF1://12038284.1304" TargetMode="External"/><Relationship Id="rId5" Type="http://schemas.openxmlformats.org/officeDocument/2006/relationships/hyperlink" Target="garantF1://12038284.1102" TargetMode="External"/><Relationship Id="rId15" Type="http://schemas.openxmlformats.org/officeDocument/2006/relationships/hyperlink" Target="garantF1://12038284.1113" TargetMode="External"/><Relationship Id="rId10" Type="http://schemas.openxmlformats.org/officeDocument/2006/relationships/hyperlink" Target="garantF1://120382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84.206" TargetMode="External"/><Relationship Id="rId14" Type="http://schemas.openxmlformats.org/officeDocument/2006/relationships/hyperlink" Target="garantF1://12038284.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2014-11-05T06:52:00Z</dcterms:created>
  <dcterms:modified xsi:type="dcterms:W3CDTF">2014-11-05T06:52:00Z</dcterms:modified>
</cp:coreProperties>
</file>